
<file path=[Content_Types].xml><?xml version="1.0" encoding="utf-8"?>
<Types xmlns="http://schemas.openxmlformats.org/package/2006/content-types">
  <Default Extension="xml" ContentType="application/xml"/>
  <Default Extension="rels" ContentType="application/vnd.openxmlformats-package.relationships+xml"/>
  <Override PartName="/word/fontTable.xml" ContentType="application/vnd.openxmlformats-officedocument.wordprocessingml.fontTable+xml"/>
  <Override PartName="/word/header1.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Fri Aug  7 16:32:19 2026
-->
<w:document xmlns:wps="http://schemas.microsoft.com/office/word/2010/wordprocessingShape" xmlns:wpc="http://schemas.microsoft.com/office/word/2010/wordprocessingCanvas" xmlns:r="http://schemas.openxmlformats.org/officeDocument/2006/relationships" xmlns:o="urn:schemas-microsoft-com:office:office" xmlns:m="http://schemas.openxmlformats.org/officeDocument/2006/math" xmlns:wpi="http://schemas.microsoft.com/office/word/2010/wordprocessingInk" xmlns:w10="urn:schemas-microsoft-com:office:word" xmlns:cx="http://schemas.microsoft.com/office/drawing/2014/chartex" xmlns:w14="http://schemas.microsoft.com/office/word/2010/wordml" xmlns:cx1="http://schemas.microsoft.com/office/drawing/2015/9/8/chartex" xmlns:wne="http://schemas.microsoft.com/office/word/2006/wordml" xmlns:w15="http://schemas.microsoft.com/office/word/2012/wordml" xmlns:mc="http://schemas.openxmlformats.org/markup-compatibility/2006" xmlns:v="urn:schemas-microsoft-com:vml" xmlns:wp14="http://schemas.microsoft.com/office/word/2010/wordprocessingDrawing" xmlns:wpg="http://schemas.microsoft.com/office/word/2010/wordprocessingGroup" xmlns:wp="http://schemas.openxmlformats.org/drawingml/2006/wordprocessingDrawing" xmlns:w16se="http://schemas.microsoft.com/office/word/2015/wordml/symex" xmlns:w="http://schemas.openxmlformats.org/wordprocessingml/2006/main" mc:Ignorable="w14 w15 w16se wp14">
  <w:body>
    <w:p>
      <w:pPr>
        <w:pStyle w:val="Normal"/>
        <w:keepNext w:val="0"/>
        <w:keepLines w:val="0"/>
        <w:pageBreakBefore w:val="0"/>
        <w:wordWrap w:val="1"/>
        <w:overflowPunct w:val="1"/>
        <w:topLinePunct w:val="0"/>
        <w:kinsoku w:val="1"/>
        <w:autoSpaceDE w:val="1"/>
        <w:autoSpaceDN w:val="1"/>
        <w:bidi w:val="0"/>
        <w:outlineLvl w:val="0"/>
        <w:spacing w:line="560" w:lineRule="exact"/>
        <w:ind w:left="0" w:leftChars="0"/>
        <w:rPr>
          <w:sz w:val="28"/>
          <w:szCs w:val="28"/>
          <w:rFonts w:ascii="方正小标宋简体" w:eastAsia="方正小标宋简体" w:hint="eastAsia"/>
        </w:rPr>
      </w:pPr>
      <w:bookmarkStart w:name="_Hlk535245579" w:id="0"/>
      <w:r>
        <w:rPr>
          <w:sz w:val="28"/>
          <w:szCs w:val="28"/>
          <w:rFonts w:ascii="方正小标宋简体" w:eastAsia="方正小标宋简体" w:hint="eastAsia"/>
        </w:rPr>
        <w:t xml:space="preserve">附件1</w:t>
      </w:r>
      <w:r>
        <w:rPr>
          <w:sz w:val="28"/>
          <w:szCs w:val="28"/>
          <w:rFonts w:ascii="方正小标宋简体" w:eastAsia="方正小标宋简体" w:hint="eastAsia"/>
        </w:rPr>
      </w:r>
    </w:p>
    <w:p>
      <w:pPr>
        <w:pStyle w:val="Normal"/>
        <w:keepNext w:val="0"/>
        <w:keepLines w:val="0"/>
        <w:pageBreakBefore w:val="0"/>
        <w:wordWrap w:val="1"/>
        <w:overflowPunct w:val="1"/>
        <w:topLinePunct w:val="0"/>
        <w:kinsoku w:val="1"/>
        <w:autoSpaceDE w:val="1"/>
        <w:autoSpaceDN w:val="1"/>
        <w:bidi w:val="0"/>
        <w:jc w:val="center"/>
        <w:outlineLvl w:val="0"/>
        <w:spacing w:line="560" w:lineRule="exact"/>
        <w:ind w:left="0" w:leftChars="0"/>
        <w:rPr>
          <w:sz w:val="44"/>
          <w:lang w:eastAsia="zh-CN"/>
          <w:szCs w:val="44"/>
          <w:rFonts w:ascii="方正小标宋简体" w:eastAsia="方正小标宋简体" w:hint="eastAsia"/>
        </w:rPr>
      </w:pPr>
      <w:bookmarkEnd w:id="0"/>
      <w:r>
        <w:rPr>
          <w:sz w:val="44"/>
          <w:lang w:eastAsia="zh-CN"/>
          <w:szCs w:val="44"/>
          <w:rFonts w:ascii="方正小标宋简体" w:eastAsia="方正小标宋简体" w:hint="eastAsia"/>
        </w:rPr>
        <w:t xml:space="preserve">安州高新区园区配套基础设施建设项目（二期）</w:t>
      </w:r>
      <w:r>
        <w:rPr>
          <w:sz w:val="44"/>
          <w:lang w:eastAsia="zh-CN"/>
          <w:szCs w:val="44"/>
          <w:rFonts w:ascii="方正小标宋简体" w:eastAsia="方正小标宋简体" w:hint="eastAsia"/>
        </w:rPr>
      </w:r>
    </w:p>
    <w:p>
      <w:pPr>
        <w:pStyle w:val="Normal"/>
        <w:keepNext w:val="0"/>
        <w:keepLines w:val="0"/>
        <w:pageBreakBefore w:val="0"/>
        <w:wordWrap w:val="1"/>
        <w:overflowPunct w:val="1"/>
        <w:topLinePunct w:val="0"/>
        <w:kinsoku w:val="1"/>
        <w:autoSpaceDE w:val="1"/>
        <w:autoSpaceDN w:val="1"/>
        <w:bidi w:val="0"/>
        <w:jc w:val="center"/>
        <w:outlineLvl w:val="0"/>
        <w:spacing w:line="560" w:lineRule="exact"/>
        <w:ind w:left="0" w:leftChars="0"/>
        <w:rPr>
          <w:sz w:val="44"/>
          <w:lang w:val="en-US" w:eastAsia="zh-CN"/>
          <w:szCs w:val="44"/>
          <w:rFonts w:ascii="方正小标宋简体" w:eastAsia="方正小标宋简体" w:hint="eastAsia"/>
        </w:rPr>
      </w:pPr>
      <w:r>
        <w:rPr>
          <w:sz w:val="44"/>
          <w:lang w:val="en-US" w:eastAsia="zh-CN"/>
          <w:szCs w:val="44"/>
          <w:rFonts w:ascii="方正小标宋简体" w:eastAsia="方正小标宋简体" w:hint="eastAsia"/>
        </w:rPr>
        <w:t xml:space="preserve">项目</w:t>
      </w:r>
      <w:r>
        <w:rPr>
          <w:sz w:val="44"/>
          <w:szCs w:val="44"/>
          <w:rFonts w:ascii="方正小标宋简体" w:eastAsia="方正小标宋简体" w:hint="eastAsia"/>
        </w:rPr>
        <w:t xml:space="preserve">情况</w:t>
      </w:r>
      <w:r>
        <w:rPr>
          <w:sz w:val="44"/>
          <w:szCs w:val="44"/>
          <w:rFonts w:ascii="方正小标宋简体" w:eastAsia="方正小标宋简体" w:hint="eastAsia"/>
        </w:rPr>
      </w:r>
    </w:p>
    <w:p>
      <w:pPr>
        <w:pStyle w:val="Normal"/>
        <w:keepNext w:val="0"/>
        <w:keepLines w:val="0"/>
        <w:pageBreakBefore w:val="0"/>
        <w:wordWrap w:val="1"/>
        <w:overflowPunct w:val="1"/>
        <w:topLinePunct w:val="0"/>
        <w:kinsoku w:val="1"/>
        <w:autoSpaceDE w:val="1"/>
        <w:autoSpaceDN w:val="1"/>
        <w:bidi w:val="0"/>
        <w:spacing w:line="560" w:lineRule="exact"/>
        <w:ind w:firstLine="640" w:firstLineChars="200" w:left="0" w:leftChars="0"/>
        <w:rPr>
          <w:sz w:val="32"/>
          <w:szCs w:val="32"/>
          <w:rFonts w:ascii="仿宋_GB2312" w:eastAsia="仿宋_GB2312"/>
        </w:rPr>
      </w:pPr>
      <w:r>
        <w:rPr>
          <w:sz w:val="32"/>
          <w:szCs w:val="32"/>
          <w:rFonts w:ascii="仿宋_GB2312" w:eastAsia="仿宋_GB2312"/>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szCs w:val="32"/>
          <w:rFonts w:ascii="黑体" w:hAnsi="黑体" w:eastAsia="黑体" w:hint="eastAsia"/>
        </w:rPr>
      </w:pPr>
      <w:r>
        <w:rPr>
          <w:sz w:val="32"/>
          <w:szCs w:val="32"/>
          <w:rFonts w:ascii="黑体" w:hAnsi="黑体" w:eastAsia="黑体" w:hint="eastAsia"/>
        </w:rPr>
        <w:t xml:space="preserve">一、项目基本情况</w:t>
      </w:r>
      <w:r>
        <w:rPr>
          <w:sz w:val="32"/>
          <w:szCs w:val="32"/>
          <w:rFonts w:ascii="黑体" w:hAnsi="黑体" w:eastAsia="黑体"/>
        </w:rPr>
      </w:r>
    </w:p>
    <w:p>
      <w:pPr>
        <w:pStyle w:val="Normal"/>
        <w:keepNext w:val="0"/>
        <w:keepLines w:val="0"/>
        <w:pageBreakBefore w:val="0"/>
        <w:wordWrap w:val="1"/>
        <w:overflowPunct w:val="1"/>
        <w:topLinePunct w:val="0"/>
        <w:kinsoku w:val="1"/>
        <w:autoSpaceDE w:val="1"/>
        <w:autoSpaceDN w:val="1"/>
        <w:bidi w:val="0"/>
        <w:outlineLvl w:val="1"/>
        <w:spacing w:line="560" w:lineRule="exact"/>
        <w:ind w:firstLine="643" w:firstLineChars="200" w:left="0" w:leftChars="0"/>
        <w:rPr>
          <w:b w:val="1"/>
          <w:sz w:val="32"/>
          <w:szCs w:val="32"/>
          <w:rFonts w:ascii="楷体_GB2312" w:eastAsia="楷体_GB2312" w:hint="eastAsia"/>
        </w:rPr>
      </w:pPr>
      <w:r>
        <w:rPr>
          <w:b w:val="1"/>
          <w:sz w:val="32"/>
          <w:szCs w:val="32"/>
          <w:rFonts w:ascii="楷体_GB2312" w:eastAsia="楷体_GB2312" w:hint="eastAsia"/>
        </w:rPr>
        <w:t xml:space="preserve">（一）市县及行业专项规划概况</w:t>
      </w:r>
      <w:r>
        <w:rPr>
          <w:b w:val="1"/>
          <w:sz w:val="32"/>
          <w:szCs w:val="32"/>
          <w:rFonts w:ascii="楷体_GB2312" w:eastAsia="楷体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《1.符合四川省构建“5+1”现代产业体系的指引</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2018年11月，四川省出台《中共四川省委四川省人民政府关于加快构建“5＋1”现代产业体系推动工业高质量发展的意见》，要求构建具有四川特色优势的现代产业体系（发展壮大支柱产业电子信息产业、装备制造产业、食品饮料产业、先进材料产业、能源化工产业；着力培育战略性新兴产业和未来产业；加快传统产业转型、升级原材料），构建“一干多支、五区协同”工业发展新格局（打造各具特色的区域产业版图、优化市（州）产业布局、推动产业集聚集约发展），推动工业绿色低碳循环发展（坚决淘汰落后产能化解过剩产能、大力推动资源节约与综合利用、提升工业清洁生产水平、加快推进绿色制造体系建设）。</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2.是安州区产业园区集中集约集群发展的需要</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1）布局思路</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根据园区的资源环境承载能力、现有开发强度、发展潜力、土地利用和城镇化格局，坚持立足现状与着眼未来相结合，科学谋划园区功能分区和产业布局。按照产业集聚、布局集中、发展集约的要求，明晰重点发展区域，合理引导企业向各功能区集聚，形成以资源共享、功能互补、产业联动、错位发展为一体的发展格局。</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2）总体布局</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立足长远发展，适度超前规划，通盘考虑园区资源，优化空间布局，加快构建“一区三园”空间格局。“一区”，即核心区；“三园”，即凯江新材料产业园，绵阿产业园，雎水现代综合物流园。</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（1）优化调整核心区</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“十四五”期间，持续优化调整核心区，提档升级，大力发展高新技术产业，培育发展新经济。</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新能源与智能网联汽车产业功能区。规划面积8平方公里，围绕“新、乘、智、专”打造差异化竞争优势，依托威马汽车、绵阳华祥，重点发展新能源汽车及关键总成、乘用车、智能网联汽车零部件、专用车，是新能源与智能网联汽车产业发展的主要承载区。</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核心区拓展区。规划面积15平方公里，对核心区进行适度向西向北拓展，“西延”涉及花荄镇西桥村、马鞍村、西岩村、狮子村、前进村，界牌镇金凤村、五显村，是未来新能源与智能网联汽车产业功能区拓展的“主战场”。“北拓”涉及黄土镇，未来主要布局智能制造、医药及食品产业。</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（2）转型升级凯江新材料产业园</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规划面积6平方公里，加快凯江新材料产业园转型升级，在传统化工产业转型升级的基础上，通过“腾笼换鸟、筑巢引凤”，重点发展新材料产业、先进制造业、现代物流产业，打造全区产业新聚集地。</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（3）前瞻性谋划绵阿产业园</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规划用地5平方公里，大力发展“飞地”经济，利用绵阳和阿坝州发展基础、资源禀赋和产业特色，充分发挥安州区位优势和阿坝州政策优势的叠加效应，大力发展锂电产业、中药材及农牧业产品深加工。</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（4）科学规划雎水现代综合物流园</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科学规划雎水现代综合物流园，依托成兰铁路雎水关客货两用站点，完善物流园区基础设施建设，加强互联互通，强化多式联运，构建工业园区现代物流体系，打造绵阳铁路物流港。</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深入实施“工业强区”战略，立足安州区已有的产业基础，按照“优势互补、错位发展”的理念，抓住产业发展的历史机遇，大力发展新能源与智能网联汽车、智慧家庭、医药食品、新材料等产业，积极培育新经济。</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(三)能充分发挥当地资源禀赋。</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本项目的建设有助于促进绵阳市工业经济发展，增强绵阳市工业基础条件，提升城市形象，创建城市品牌，打造安州区工业新面貌。</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1.有利于绵阳市经济的进一步发展</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的建设是成都平原经济区一体化发展2022年重点任务清单绵阳市责任分工方案中的支持成德绵加工贸易梯度转移重点承接地争创国家加工贸易产业园等项目。本项目的建设搭上绵阳市“园区提质”、“企业满园”、七大攻坚、人才十条、招商引资十条等一系列政策文件快车道，不仅是为持续推进工业及消费提质升级，也是以园区高质量发展引领带动经济高质量发展，为加快建设中国科技城、全力打造成渝副中心提供有力支撑。</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2.有利于绵阳市推动产城融合发展</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凯江工业园区位于绵阳市安州区雎水镇，是绵阳市工业发展的核心区域，力图持续做优传统产业、不断壮大新兴产业，大力推进工业区建设，建成国家级众创空间，打造特色鲜明的高端制造业集聚区。本项目坚持走以产兴城、以城促产、产城融合之路，本项目的建成，必将促进安州片区乃至绵阳市产城融合快速发展，为推动绵阳经济高质量发展增添新的动能。</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3.有利于发展区域经济</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工业园区因为自身所具有的种种优势，应该成为区域经济发展的带动力。把园区经济做好了，就相当于牵住了区域经济发展的“鼻子”。凯江工业园区的建设将成为绵阳市安州区经济发展的龙头，园区的建设将形成集聚效应。工业园区基础设备配套齐全，厂房资源、水、电、气等能源都可以实现集约利用，并且符合国家产业政策，便于对企业合理布局，实现更高层次转型升级。在工业园区内，还可以对污染进行最大化处理。抓好园区建设，对一方经济发展将起到关键作用。</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(四)能有效解决当前瓶颈问题。</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绵阳市产业园建设已经有几年，但是目前发展并不迅速，园区建设滞后的结果一是用地指标难获批；二是有项目进不来；三是项目来了也难长大。但是，在土地、环境等诸多因素约束下，强力促进工业发展的不是遍地开花的工业园区，而是土地相对集中、配套相对完善、产业相对集聚、特色相对突出的核心园区。也就是说，绵阳市能否全力打造一个核心工业园区，是其工业发展的主要决定因素。</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如果一个地方的工业园区遍地开花，它不仅不能形成招商引资的一个共有平台、品牌乃至旗帜，反而容易出现相互恶性竞争，既不利于用地指标的获得也不利于招商引资。而且不能形成资源合力的分散园区，也难以引进优秀的、具有产业龙头带动作用的大项目。所以说，在工业发展的园区化时代，凯江园区建设是安州区工业发展的重要因素。</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二、项目经济效益</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(一)提供公共产品，改善公共服务。</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的建设是绵阳市深度参与成渝地区双城经济圈建设暨推进区域协同发展的重要一环，本项目的建设是成都平原经济区一体化发展2022年重点任务清单绵阳市责任分工方案中的支持成德绵加工贸易梯度转移重点承接地争创国家加工贸易产业园等项目。</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的建设搭上绵阳市“园区提质”、“企业满园”、七大攻坚、人才十条、招商引资十条等一系列政策文件快车道，不仅是为持续推进工业及消费提质升级，也是以园区高质量发展引领带动经济高质量发展，为加快建设中国科技城、全力打造成渝副中心提供有力支撑。</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(二)促进群众就业，增加群众收入。</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的建设，将为安州区解决部分劳动力就业，完善城市基础设施，创造良好的投资环境，吸引更多的人前来投资创业，强化市安州区城市服务功能。项目的建设，将带动周边居民的致富机会，有助于促进促进就业和经济发展。</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(三)弥补发展短板，带来长远效益。</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本项目实施重在进一步完善产业及生活配套设施、改善安州区投资环境，为安州高新技术工业园区招商引资，吸引企业入驻创造了前提条件。</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项目建设实施，可尽快弥补目前公建基础设施建设滞后的缺陷，进一步提高项目片区公建服务水平，提升项目区居民生产生活环境质量；可保护和巩固现有的经济建设成果，为园区经济发展营造良好的投资环境，将有力促进安州区经济社会的快速发展。</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(四)拉动有效投资，推动经济增长。</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该项目的建设，将进一步完善城市基础设施，同时随着招商引资工作的推进，项目的建成将对外部资金保持较强的吸引力，促进资金在本地的投资，为安州区产业升级发展助力，为区域后续发展奠定良好基础，创造可持续经济效益，助力完成区域长期发展规划目标的实现。</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1"/>
        <w:numPr>
          <w:ilvl w:val="0"/>
          <w:numId w:val="2"/>
        </w:numPr>
        <w:spacing w:line="560" w:lineRule="exact"/>
        <w:ind w:firstLine="643" w:firstLineChars="200" w:left="0" w:leftChars="0"/>
        <w:rPr>
          <w:b w:val="1"/>
          <w:sz w:val="32"/>
          <w:szCs w:val="32"/>
          <w:rFonts w:ascii="楷体_GB2312" w:eastAsia="楷体_GB2312" w:hint="eastAsia"/>
        </w:rPr>
      </w:pPr>
      <w:r>
        <w:rPr>
          <w:b w:val="1"/>
          <w:sz w:val="32"/>
          <w:szCs w:val="32"/>
          <w:rFonts w:ascii="楷体_GB2312" w:eastAsia="楷体_GB2312" w:hint="eastAsia"/>
        </w:rPr>
        <w:t xml:space="preserve">项目情况</w:t>
      </w:r>
      <w:r>
        <w:rPr>
          <w:b w:val="1"/>
          <w:sz w:val="32"/>
          <w:szCs w:val="32"/>
          <w:rFonts w:ascii="楷体_GB2312" w:eastAsia="楷体_GB2312" w:hint="eastAsia"/>
        </w:rPr>
      </w:r>
    </w:p>
    <w:p>
      <w:pPr>
        <w:pStyle w:val="Normal"/>
        <w:keepNext w:val="0"/>
        <w:keepLines w:val="0"/>
        <w:pageBreakBefore w:val="0"/>
        <w:wordWrap w:val="1"/>
        <w:overflowPunct w:val="1"/>
        <w:topLinePunct w:val="0"/>
        <w:kinsoku w:val="1"/>
        <w:autoSpaceDE w:val="1"/>
        <w:autoSpaceDN w:val="1"/>
        <w:bidi w:val="0"/>
        <w:numPr>
          <w:ilvl w:val="0"/>
          <w:numId w:val="3"/>
        </w:numPr>
        <w:spacing w:line="560" w:lineRule="exact"/>
        <w:ind w:firstLine="643" w:firstLineChars="200" w:left="0" w:leftChars="0"/>
        <w:rPr>
          <w:b w:val="1"/>
          <w:sz w:val="32"/>
          <w:szCs w:val="32"/>
          <w:rFonts w:ascii="仿宋_GB2312" w:eastAsia="仿宋_GB2312" w:hint="eastAsia"/>
        </w:rPr>
      </w:pPr>
      <w:r>
        <w:rPr>
          <w:b w:val="1"/>
          <w:sz w:val="32"/>
          <w:szCs w:val="32"/>
          <w:rFonts w:ascii="仿宋_GB2312" w:eastAsia="仿宋_GB2312" w:hint="eastAsia"/>
        </w:rPr>
        <w:t xml:space="preserve">参与主体</w:t>
      </w:r>
      <w:r>
        <w:rPr>
          <w:b w:val="1"/>
          <w:sz w:val="32"/>
          <w:szCs w:val="32"/>
          <w:rFonts w:ascii="仿宋_GB2312"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主管部门：四川绵阳安州高新技术产业园区管理委员会</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项目业主：绵阳华欣建设有限责任公司</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numPr>
          <w:ilvl w:val="0"/>
          <w:numId w:val="3"/>
        </w:numPr>
        <w:spacing w:line="560" w:lineRule="exact"/>
        <w:ind w:firstLine="643" w:firstLineChars="200" w:left="0" w:leftChars="0"/>
        <w:rPr>
          <w:b w:val="1"/>
          <w:sz w:val="32"/>
          <w:szCs w:val="32"/>
          <w:rFonts w:ascii="仿宋_GB2312" w:eastAsia="仿宋_GB2312" w:hint="eastAsia"/>
        </w:rPr>
      </w:pPr>
      <w:r>
        <w:rPr>
          <w:b w:val="1"/>
          <w:sz w:val="32"/>
          <w:szCs w:val="32"/>
          <w:rFonts w:ascii="仿宋_GB2312" w:eastAsia="仿宋_GB2312" w:hint="eastAsia"/>
        </w:rPr>
        <w:t xml:space="preserve">项目概况</w:t>
      </w:r>
      <w:r>
        <w:rPr>
          <w:b w:val="1"/>
          <w:sz w:val="32"/>
          <w:szCs w:val="32"/>
          <w:rFonts w:ascii="仿宋_GB2312"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1.项目地点：绵阳市安州区高新区；</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2.所属领域：产业园区基础设施；</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3.建设内容：</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项目占地面积约5.8万平方米，新建标准厂房约3.2万平方米，多层标准厂房约4.5万平方米，停车位约600个及配套道路等基础设施。</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szCs w:val="32"/>
          <w:rFonts w:ascii="黑体" w:hAnsi="黑体" w:eastAsia="黑体" w:hint="eastAsia"/>
        </w:rPr>
      </w:pPr>
      <w:r>
        <w:rPr>
          <w:sz w:val="32"/>
          <w:szCs w:val="32"/>
          <w:rFonts w:ascii="黑体" w:hAnsi="黑体" w:eastAsia="黑体" w:hint="eastAsia"/>
        </w:rPr>
        <w:t xml:space="preserve">二、经济社会效益分析</w:t>
      </w:r>
      <w:r>
        <w:rPr>
          <w:sz w:val="32"/>
          <w:szCs w:val="32"/>
          <w:rFonts w:ascii="黑体" w:hAnsi="黑体" w:eastAsia="黑体"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bookmarkStart w:name="_Toc5204" w:id="1"/>
      <w:bookmarkStart w:name="_Toc83817377" w:id="2"/>
      <w:bookmarkStart w:name="_Toc23908" w:id="3"/>
      <w:r>
        <w:rPr>
          <w:sz w:val="32"/>
          <w:lang w:val="en-US" w:eastAsia="zh-CN"/>
          <w:szCs w:val="32"/>
          <w:rFonts w:ascii="仿宋_GB2312" w:hAnsi="华文楷体" w:eastAsia="仿宋_GB2312" w:hint="eastAsia"/>
        </w:rPr>
        <w:t xml:space="preserve">（一）社会效益分析</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(一)完善基础设施，推动高质量发展。</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项目的建设作为安州区持续构建和谐社会的重要一环，在高新区持续推进产业升级，全力完成“十四五”经济规划的重要时刻，起着十分重要的作用。该项目的建设，不仅有助于区域经济发展，同时投资的增加还会促进社会基础设施的完善和区域人居环境的进一步完善。</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(二)增进民生福祉，提高人民生活品质。</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的建设，将为安州区解决部分劳动力就业，完善城市基础设施，创造良好的投资环境，吸引更多的人前来投资创业，强化市安州区城市服务功能。项目的建设，将带动周边居民的致富机会，有助于促进促进就业和经济发展。</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四、项目事前绩效评估情况</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按照《中共中央国务院关于全面实施预算绩效管理的意见》(中发〔2018〕34号)、《地方政府专项债券项目资金绩效管理办法》的通知(财预〔2021〕61号)等法律法规及规范性文件规定，本项目已开展事前绩效评估工作。根据事前评估报告，该项目的实施是必要的，绩效目标设置符合实际，预期绩效可实现程度较高，预算编制科学合理，事前调研充分，资金筹措合规，债券偿还能力较强，项目事前绩效评估的总体意见为：予以支持。</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（二）经济效益</w:t>
      </w:r>
      <w:r>
        <w:rPr>
          <w:sz w:val="32"/>
          <w:lang w:val="en-US" w:eastAsia="zh-CN"/>
          <w:szCs w:val="32"/>
          <w:rFonts w:ascii="仿宋_GB2312" w:hAnsi="华文楷体" w:eastAsia="仿宋_GB2312"/>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lang w:val="en-US" w:eastAsia="zh-CN"/>
          <w:szCs w:val="32"/>
          <w:rFonts w:ascii="仿宋_GB2312" w:hAnsi="华文楷体" w:eastAsia="仿宋_GB2312" w:hint="eastAsia"/>
        </w:rPr>
      </w:pPr>
      <w:bookmarkEnd w:id="1"/>
      <w:bookmarkEnd w:id="2"/>
      <w:bookmarkEnd w:id="3"/>
      <w:r>
        <w:rPr>
          <w:sz w:val="32"/>
          <w:lang w:val="en-US" w:eastAsia="zh-CN"/>
          <w:szCs w:val="32"/>
          <w:rFonts w:ascii="仿宋_GB2312" w:hAnsi="华文楷体" w:eastAsia="仿宋_GB2312" w:hint="eastAsia"/>
        </w:rPr>
        <w:t xml:space="preserve">(一)提供公共产品，改善公共服务。</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的建设是绵阳市深度参与成渝地区双城经济圈建设暨推进区域协同发展的重要一环，本项目的建设是成都平原经济区一体化发展2022年重点任务清单绵阳市责任分工方案中的支持成德绵加工贸易梯度转移重点承接地争创国家加工贸易产业园等项目。</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的建设搭上绵阳市“园区提质”、“企业满园”、七大攻坚、人才十条、招商引资十条等一系列政策文件快车道，不仅是为持续推进工业及消费提质升级，也是以园区高质量发展引领带动经济高质量发展，为加快建设中国科技城、全力打造成渝副中心提供有力支撑。</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(二)促进群众就业，增加群众收入。</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的建设，将为安州区解决部分劳动力就业，完善城市基础设施，创造良好的投资环境，吸引更多的人前来投资创业，强化市安州区城市服务功能。项目的建设，将带动周边居民的致富机会，有助于促进促进就业和经济发展。</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(三)弥补发展短板，带来长远效益。</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本项目实施重在进一步完善产业及生活配套设施、改善安州区投资环境，为安州高新技术工业园区招商引资，吸引企业入驻创造了前提条件。</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项目建设实施，可尽快弥补目前公建基础设施建设滞后的缺陷，进一步提高项目片区公建服务水平，提升项目区居民生产生活环境质量；可保护和巩固现有的经济建设成果，为园区经济发展营造良好的投资环境，将有力促进安州区经济社会的快速发展。</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(四)拉动有效投资，推动经济增长。</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该项目的建设，将进一步完善城市基础设施，同时随着招商引资工作的推进，项目的建成将对外部资金保持较强的吸引力，促进资金在本地的投资，为安州区产业升级发展助力，为区域后续发展奠定良好基础，创造可持续经济效益，助力完成区域长期发展规划目标的实现。</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szCs w:val="32"/>
          <w:rFonts w:ascii="黑体" w:hAnsi="黑体" w:eastAsia="黑体" w:hint="eastAsia"/>
        </w:rPr>
      </w:pPr>
      <w:r>
        <w:rPr>
          <w:sz w:val="32"/>
          <w:szCs w:val="32"/>
          <w:rFonts w:ascii="黑体" w:hAnsi="黑体" w:eastAsia="黑体" w:hint="eastAsia"/>
        </w:rPr>
        <w:t xml:space="preserve">三、项目投资估算及资金筹措方案</w:t>
      </w:r>
      <w:r>
        <w:rPr>
          <w:sz w:val="32"/>
          <w:szCs w:val="32"/>
          <w:rFonts w:ascii="黑体" w:hAnsi="黑体" w:eastAsia="黑体"/>
        </w:rPr>
      </w:r>
    </w:p>
    <w:p>
      <w:pPr>
        <w:pStyle w:val="Normal"/>
        <w:keepNext w:val="0"/>
        <w:keepLines w:val="0"/>
        <w:pageBreakBefore w:val="0"/>
        <w:wordWrap w:val="1"/>
        <w:overflowPunct w:val="1"/>
        <w:topLinePunct w:val="0"/>
        <w:kinsoku w:val="1"/>
        <w:autoSpaceDE w:val="1"/>
        <w:autoSpaceDN w:val="1"/>
        <w:bidi w:val="0"/>
        <w:outlineLvl w:val="1"/>
        <w:spacing w:line="560" w:lineRule="exact"/>
        <w:ind w:firstLine="643" w:firstLineChars="200" w:left="0" w:leftChars="0"/>
        <w:rPr>
          <w:b w:val="1"/>
          <w:sz w:val="32"/>
          <w:szCs w:val="32"/>
          <w:rFonts w:ascii="楷体_GB2312" w:eastAsia="楷体_GB2312" w:hint="eastAsia"/>
        </w:rPr>
      </w:pPr>
      <w:r>
        <w:rPr>
          <w:b w:val="1"/>
          <w:sz w:val="32"/>
          <w:szCs w:val="32"/>
          <w:rFonts w:ascii="楷体_GB2312" w:eastAsia="楷体_GB2312" w:hint="eastAsia"/>
        </w:rPr>
        <w:t xml:space="preserve">（一）</w:t>
      </w:r>
      <w:r>
        <w:tab/>
        <w:rPr>
          <w:b w:val="1"/>
          <w:sz w:val="32"/>
          <w:szCs w:val="32"/>
          <w:rFonts w:ascii="楷体_GB2312" w:eastAsia="楷体_GB2312" w:hint="eastAsia"/>
        </w:rPr>
      </w:r>
      <w:r>
        <w:rPr>
          <w:b w:val="1"/>
          <w:sz w:val="32"/>
          <w:szCs w:val="32"/>
          <w:rFonts w:ascii="楷体_GB2312" w:eastAsia="楷体_GB2312" w:hint="eastAsia"/>
        </w:rPr>
        <w:t xml:space="preserve">投资估算</w:t>
      </w:r>
      <w:r>
        <w:rPr>
          <w:b w:val="1"/>
          <w:sz w:val="32"/>
          <w:szCs w:val="32"/>
          <w:rFonts w:ascii="楷体_GB2312" w:eastAsia="楷体_GB2312" w:hint="eastAsia"/>
        </w:rPr>
      </w:r>
    </w:p>
    <w:p>
      <w:pPr>
        <w:pStyle w:val="Normal"/>
        <w:keepNext w:val="0"/>
        <w:keepLines w:val="0"/>
        <w:pageBreakBefore w:val="0"/>
        <w:wordWrap w:val="1"/>
        <w:overflowPunct w:val="1"/>
        <w:topLinePunct w:val="0"/>
        <w:kinsoku w:val="1"/>
        <w:autoSpaceDE w:val="1"/>
        <w:autoSpaceDN w:val="1"/>
        <w:bidi w:val="0"/>
        <w:snapToGrid w:val="1"/>
        <w:widowControl w:val="off"/>
        <w:outlineLvl w:val="1"/>
        <w:numPr>
          <w:ilvl w:val="0"/>
          <w:numId w:val="0"/>
        </w:numPr>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本项目总投资55000万元，其中工程费用45600万元，占比82.91%;工程建设其他费用4816.39万元，占比8.76%;预备费3468.61万元，占比6.31%;建设期利息及债券发行费用1,115.00万元，占比2.03%。</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1"/>
        <w:numPr>
          <w:ilvl w:val="0"/>
          <w:numId w:val="0"/>
        </w:numPr>
        <w:spacing w:line="560" w:lineRule="exact"/>
        <w:ind w:firstLine="643" w:firstLineChars="200"/>
        <w:rPr>
          <w:b w:val="1"/>
          <w:sz w:val="32"/>
          <w:lang w:eastAsia="zh-CN"/>
          <w:szCs w:val="32"/>
          <w:rFonts w:ascii="楷体_GB2312" w:eastAsia="楷体_GB2312" w:hint="eastAsia"/>
        </w:rPr>
      </w:pPr>
      <w:r>
        <w:rPr>
          <w:b w:val="1"/>
          <w:sz w:val="32"/>
          <w:lang w:eastAsia="zh-CN"/>
          <w:szCs w:val="32"/>
          <w:rFonts w:ascii="楷体_GB2312" w:eastAsia="楷体_GB2312" w:hint="eastAsia"/>
        </w:rPr>
        <w:t xml:space="preserve">（</w:t>
      </w:r>
      <w:r>
        <w:rPr>
          <w:b w:val="1"/>
          <w:sz w:val="32"/>
          <w:lang w:val="en-US" w:eastAsia="zh-CN"/>
          <w:szCs w:val="32"/>
          <w:rFonts w:ascii="楷体_GB2312" w:eastAsia="楷体_GB2312" w:hint="eastAsia"/>
        </w:rPr>
        <w:t xml:space="preserve">二）</w:t>
      </w:r>
      <w:r>
        <w:rPr>
          <w:b w:val="1"/>
          <w:sz w:val="32"/>
          <w:szCs w:val="32"/>
          <w:rFonts w:ascii="楷体_GB2312" w:eastAsia="楷体_GB2312" w:hint="eastAsia"/>
        </w:rPr>
        <w:t xml:space="preserve">资金筹措方案</w:t>
      </w:r>
      <w:r>
        <w:rPr>
          <w:b w:val="1"/>
          <w:sz w:val="32"/>
          <w:szCs w:val="32"/>
          <w:rFonts w:ascii="楷体_GB2312" w:eastAsia="楷体_GB2312" w:hint="eastAsia"/>
        </w:rPr>
      </w:r>
    </w:p>
    <w:p>
      <w:pPr>
        <w:pStyle w:val="Normal"/>
        <w:keepNext w:val="0"/>
        <w:keepLines w:val="0"/>
        <w:pageBreakBefore w:val="0"/>
        <w:wordWrap w:val="1"/>
        <w:overflowPunct w:val="1"/>
        <w:topLinePunct w:val="0"/>
        <w:kinsoku w:val="1"/>
        <w:autoSpaceDE w:val="1"/>
        <w:autoSpaceDN w:val="1"/>
        <w:bidi w:val="0"/>
        <w:outlineLvl w:val="2"/>
        <w:spacing w:line="560" w:lineRule="exact"/>
        <w:ind w:firstLine="643" w:firstLineChars="200" w:left="0" w:leftChars="0"/>
        <w:rPr>
          <w:b w:val="1"/>
          <w:sz w:val="32"/>
          <w:szCs w:val="32"/>
          <w:rFonts w:ascii="仿宋_GB2312" w:eastAsia="仿宋_GB2312" w:hint="eastAsia"/>
        </w:rPr>
      </w:pPr>
      <w:r>
        <w:rPr>
          <w:b w:val="1"/>
          <w:sz w:val="32"/>
          <w:szCs w:val="32"/>
          <w:rFonts w:ascii="仿宋_GB2312" w:eastAsia="仿宋_GB2312" w:hint="eastAsia"/>
        </w:rPr>
        <w:t xml:space="preserve">1.资金筹集情况</w:t>
      </w:r>
      <w:r>
        <w:rPr>
          <w:b w:val="1"/>
          <w:sz w:val="32"/>
          <w:szCs w:val="32"/>
          <w:rFonts w:ascii="仿宋_GB2312"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本项目总投资估算55000万元，计划使用单位自有资金20000万元，占比36.36%;专项债券资金35000万元，占比63.64%。两者合计55000万元。</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本项目计划申请专项债券总额35000万元，期限20年，本批次申请发行3000.00万元。本批次发行额度在债券存续期内每年支付一次债券利息，到期后一次性还本。</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2"/>
        <w:numPr>
          <w:ilvl w:val="0"/>
          <w:numId w:val="0"/>
        </w:numPr>
        <w:spacing w:line="560" w:lineRule="exact"/>
        <w:ind w:firstLine="643" w:firstLineChars="200" w:left="0" w:leftChars="0"/>
        <w:rPr>
          <w:b w:val="1"/>
          <w:sz w:val="32"/>
          <w:lang w:val="en-US" w:eastAsia="zh-CN"/>
          <w:szCs w:val="32"/>
          <w:rFonts w:ascii="仿宋_GB2312" w:eastAsia="仿宋_GB2312" w:hint="eastAsia"/>
        </w:rPr>
      </w:pPr>
      <w:r>
        <w:rPr>
          <w:b w:val="1"/>
          <w:sz w:val="32"/>
          <w:lang w:val="en-US" w:eastAsia="zh-CN"/>
          <w:szCs w:val="32"/>
          <w:rFonts w:ascii="仿宋_GB2312" w:eastAsia="仿宋_GB2312" w:hint="eastAsia"/>
        </w:rPr>
        <w:t xml:space="preserve">2.</w:t>
      </w:r>
      <w:r>
        <w:rPr>
          <w:b w:val="1"/>
          <w:sz w:val="32"/>
          <w:szCs w:val="32"/>
          <w:rFonts w:ascii="仿宋_GB2312" w:eastAsia="仿宋_GB2312" w:hint="eastAsia"/>
        </w:rPr>
        <w:t xml:space="preserve">资金使用计划</w:t>
      </w:r>
      <w:r>
        <w:rPr>
          <w:b w:val="1"/>
          <w:sz w:val="32"/>
          <w:szCs w:val="32"/>
          <w:rFonts w:ascii="仿宋_GB2312" w:eastAsia="仿宋_GB2312" w:hint="eastAsia"/>
        </w:rPr>
      </w:r>
    </w:p>
    <w:tbl>
      <w:tblPr>
        <w:tblStyle w:val="UserStyle_14"/>
        <w:tblW w:w="7139" w:type="dxa"/>
        <w:jc w:val="center"/>
        <w:tblInd w:type="dxa" w:w="0.000000"/>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type="dxa" w:w="0.000000"/>
          <w:bottom w:type="dxa" w:w="0.000000"/>
          <w:left w:type="dxa" w:w="0.000000"/>
          <w:right w:type="dxa" w:w="0.000000"/>
        </w:tblCellMar>
      </w:tblPr>
      <w:tblGrid>
        <w:gridCol w:w="1823.000000"/>
        <w:gridCol w:w="1231.000000"/>
        <w:gridCol w:w="1216.000000"/>
        <w:gridCol w:w="1216.000000"/>
        <w:gridCol w:w="1653.000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3" w:hRule="atLeast"/>
        </w:trPr>
        <w:tc>
          <w:tcPr>
            <w:tcW w:w="1823" w:type="dxa"/>
            <w:vAlign w:val="center"/>
            <w:textDirection w:val="lrTb"/>
          </w:tcPr>
          <w:p>
            <w:pPr>
              <w:pStyle w:val="Normal"/>
              <w:jc w:val="center"/>
              <w:rPr>
                <w:sz w:val="22"/>
                <w:lang w:eastAsia="zh-CN" w:bidi="ar"/>
                <w:szCs w:val="22"/>
                <w:rFonts w:ascii="Times New Roman" w:hAnsi="Times New Roman" w:eastAsia="仿宋"/>
              </w:rPr>
            </w:pPr>
            <w:r>
              <w:rPr>
                <w:sz w:val="22"/>
                <w:lang w:eastAsia="zh-CN" w:bidi="ar"/>
                <w:szCs w:val="22"/>
                <w:rFonts w:ascii="Times New Roman" w:hAnsi="Times New Roman" w:eastAsia="仿宋"/>
              </w:rPr>
              <w:t xml:space="preserve">资金来源类型</w:t>
            </w:r>
            <w:r>
              <w:rPr>
                <w:sz w:val="22"/>
                <w:lang w:eastAsia="zh-CN" w:bidi="ar"/>
                <w:szCs w:val="22"/>
                <w:rFonts w:ascii="Times New Roman" w:hAnsi="Times New Roman" w:eastAsia="仿宋"/>
              </w:rPr>
            </w:r>
          </w:p>
        </w:tc>
        <w:tc>
          <w:tcPr>
            <w:tcW w:w="1231"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2024</w:t>
            </w:r>
            <w:r>
              <w:rPr>
                <w:sz w:val="22"/>
                <w:lang w:eastAsia="zh-CN" w:bidi="ar"/>
                <w:szCs w:val="22"/>
                <w:rFonts w:ascii="Times New Roman" w:hAnsi="Times New Roman" w:eastAsia="仿宋"/>
              </w:rPr>
              <w:t xml:space="preserve">年</w:t>
            </w:r>
            <w:r>
              <w:rPr>
                <w:sz w:val="22"/>
                <w:lang w:eastAsia="zh-CN" w:bidi="ar"/>
                <w:szCs w:val="22"/>
                <w:rFonts w:ascii="Times New Roman" w:hAnsi="Times New Roman" w:eastAsia="仿宋"/>
              </w:rPr>
            </w:r>
          </w:p>
        </w:tc>
        <w:tc>
          <w:tcPr>
            <w:tcW w:w="1216"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2025年</w:t>
            </w:r>
            <w:r>
              <w:rPr>
                <w:sz w:val="22"/>
                <w:lang w:eastAsia="zh-CN" w:bidi="ar"/>
                <w:szCs w:val="22"/>
                <w:rFonts w:ascii="Times New Roman" w:hAnsi="Times New Roman" w:eastAsia="仿宋"/>
              </w:rPr>
            </w:r>
          </w:p>
        </w:tc>
        <w:tc>
          <w:tcPr>
            <w:tcW w:w="1216" w:type="dxa"/>
            <w:vAlign w:val="center"/>
            <w:textDirection w:val="lrTb"/>
          </w:tcPr>
          <w:p>
            <w:pPr>
              <w:pStyle w:val="Normal"/>
              <w:jc w:val="center"/>
              <w:rPr>
                <w:sz w:val="22"/>
                <w:lang w:eastAsia="zh-CN" w:bidi="ar"/>
                <w:szCs w:val="22"/>
                <w:rFonts w:ascii="Times New Roman" w:hAnsi="Times New Roman" w:eastAsia="仿宋"/>
              </w:rPr>
            </w:pPr>
            <w:r>
              <w:rPr>
                <w:sz w:val="22"/>
                <w:lang w:eastAsia="zh-CN" w:bidi="ar"/>
                <w:szCs w:val="22"/>
                <w:rFonts w:ascii="Times New Roman" w:hAnsi="Times New Roman" w:eastAsia="仿宋"/>
              </w:rPr>
              <w:t xml:space="preserve">合计</w:t>
            </w:r>
            <w:r>
              <w:rPr>
                <w:sz w:val="22"/>
                <w:lang w:eastAsia="zh-CN" w:bidi="ar"/>
                <w:szCs w:val="22"/>
                <w:rFonts w:ascii="Times New Roman" w:hAnsi="Times New Roman" w:eastAsia="仿宋"/>
              </w:rPr>
            </w:r>
          </w:p>
        </w:tc>
        <w:tc>
          <w:tcPr>
            <w:tcW w:w="1653" w:type="dxa"/>
            <w:vAlign w:val="center"/>
            <w:textDirection w:val="lrTb"/>
          </w:tcPr>
          <w:p>
            <w:pPr>
              <w:pStyle w:val="Normal"/>
              <w:jc w:val="center"/>
              <w:rPr>
                <w:sz w:val="22"/>
                <w:lang w:eastAsia="zh-CN" w:bidi="ar"/>
                <w:szCs w:val="22"/>
                <w:rFonts w:ascii="Times New Roman" w:hAnsi="Times New Roman" w:eastAsia="仿宋"/>
              </w:rPr>
            </w:pPr>
            <w:r>
              <w:rPr>
                <w:sz w:val="22"/>
                <w:lang w:eastAsia="zh-CN" w:bidi="ar"/>
                <w:szCs w:val="22"/>
                <w:rFonts w:ascii="Times New Roman" w:hAnsi="Times New Roman" w:eastAsia="仿宋"/>
              </w:rPr>
              <w:t xml:space="preserve">各类型占比</w:t>
            </w:r>
            <w:r>
              <w:rPr>
                <w:sz w:val="22"/>
                <w:lang w:eastAsia="zh-CN" w:bidi="ar"/>
                <w:szCs w:val="22"/>
                <w:rFonts w:ascii="Times New Roman" w:hAnsi="Times New Roman" w:eastAsia="仿宋"/>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9" w:hRule="atLeast"/>
        </w:trPr>
        <w:tc>
          <w:tcPr>
            <w:tcW w:w="1823" w:type="dxa"/>
            <w:vAlign w:val="center"/>
            <w:textDirection w:val="lrTb"/>
          </w:tcPr>
          <w:p>
            <w:pPr>
              <w:pStyle w:val="Normal"/>
              <w:jc w:val="center"/>
              <w:rPr>
                <w:sz w:val="22"/>
                <w:lang w:eastAsia="zh-CN" w:bidi="ar"/>
                <w:szCs w:val="22"/>
                <w:rFonts w:ascii="Times New Roman" w:hAnsi="Times New Roman" w:eastAsia="仿宋"/>
              </w:rPr>
            </w:pPr>
            <w:r>
              <w:rPr>
                <w:sz w:val="22"/>
                <w:lang w:eastAsia="zh-CN" w:bidi="ar"/>
                <w:szCs w:val="22"/>
                <w:rFonts w:ascii="Times New Roman" w:hAnsi="Times New Roman" w:eastAsia="仿宋"/>
              </w:rPr>
              <w:t xml:space="preserve">财政预算资金</w:t>
            </w:r>
            <w:r>
              <w:rPr>
                <w:sz w:val="22"/>
                <w:lang w:eastAsia="zh-CN" w:bidi="ar"/>
                <w:szCs w:val="22"/>
                <w:rFonts w:ascii="Times New Roman" w:hAnsi="Times New Roman" w:eastAsia="仿宋"/>
              </w:rPr>
            </w:r>
          </w:p>
        </w:tc>
        <w:tc>
          <w:tcPr>
            <w:tcW w:w="1231" w:type="dxa"/>
            <w:vAlign w:val="center"/>
            <w:textDirection w:val="lrTb"/>
          </w:tcPr>
          <w:p>
            <w:pPr>
              <w:pStyle w:val="Normal"/>
              <w:jc w:val="center"/>
              <w:rPr>
                <w:sz w:val="22"/>
                <w:lang w:eastAsia="zh-CN" w:bidi="ar"/>
                <w:szCs w:val="22"/>
                <w:rFonts w:ascii="Times New Roman" w:hAnsi="Times New Roman" w:eastAsia="仿宋"/>
              </w:rPr>
            </w:pPr>
            <w:r>
              <w:rPr>
                <w:sz w:val="22"/>
                <w:lang w:eastAsia="zh-CN" w:bidi="ar"/>
                <w:szCs w:val="22"/>
                <w:rFonts w:ascii="Times New Roman" w:hAnsi="Times New Roman" w:eastAsia="仿宋"/>
              </w:rPr>
            </w:r>
          </w:p>
        </w:tc>
        <w:tc>
          <w:tcPr>
            <w:tcW w:w="1216" w:type="dxa"/>
            <w:vAlign w:val="center"/>
            <w:textDirection w:val="lrTb"/>
          </w:tcPr>
          <w:p>
            <w:pPr>
              <w:pStyle w:val="Normal"/>
              <w:jc w:val="center"/>
              <w:rPr>
                <w:sz w:val="22"/>
                <w:lang w:eastAsia="zh-CN" w:bidi="ar"/>
                <w:szCs w:val="22"/>
                <w:rFonts w:ascii="Times New Roman" w:hAnsi="Times New Roman" w:eastAsia="仿宋"/>
              </w:rPr>
            </w:pPr>
            <w:r>
              <w:rPr>
                <w:sz w:val="22"/>
                <w:lang w:eastAsia="zh-CN" w:bidi="ar"/>
                <w:szCs w:val="22"/>
                <w:rFonts w:ascii="Times New Roman" w:hAnsi="Times New Roman" w:eastAsia="仿宋"/>
              </w:rPr>
            </w:r>
          </w:p>
        </w:tc>
        <w:tc>
          <w:tcPr>
            <w:tcW w:w="1216" w:type="dxa"/>
            <w:vAlign w:val="center"/>
            <w:textDirection w:val="lrTb"/>
          </w:tcPr>
          <w:p>
            <w:pPr>
              <w:pStyle w:val="Normal"/>
              <w:jc w:val="center"/>
              <w:rPr>
                <w:sz w:val="22"/>
                <w:lang w:eastAsia="zh-CN" w:bidi="ar"/>
                <w:szCs w:val="22"/>
                <w:rFonts w:ascii="Times New Roman" w:hAnsi="Times New Roman" w:eastAsia="仿宋"/>
              </w:rPr>
            </w:pPr>
            <w:r>
              <w:rPr>
                <w:sz w:val="22"/>
                <w:lang w:eastAsia="zh-CN" w:bidi="ar"/>
                <w:szCs w:val="22"/>
                <w:rFonts w:ascii="Times New Roman" w:hAnsi="Times New Roman" w:eastAsia="仿宋"/>
              </w:rPr>
            </w:r>
          </w:p>
        </w:tc>
        <w:tc>
          <w:tcPr>
            <w:tcW w:w="1653" w:type="dxa"/>
            <w:vAlign w:val="center"/>
            <w:textDirection w:val="lrTb"/>
          </w:tcPr>
          <w:p>
            <w:pPr>
              <w:pStyle w:val="Normal"/>
              <w:jc w:val="center"/>
              <w:rPr>
                <w:sz w:val="22"/>
                <w:lang w:eastAsia="zh-CN" w:bidi="ar"/>
                <w:szCs w:val="22"/>
                <w:rFonts w:ascii="Times New Roman" w:hAnsi="Times New Roman" w:eastAsia="仿宋"/>
              </w:rPr>
            </w:pPr>
            <w:r>
              <w:rPr>
                <w:sz w:val="22"/>
                <w:lang w:eastAsia="zh-CN" w:bidi="ar"/>
                <w:szCs w:val="22"/>
                <w:rFonts w:ascii="Times New Roman" w:hAnsi="Times New Roman" w:eastAsia="仿宋"/>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8" w:hRule="atLeast"/>
        </w:trPr>
        <w:tc>
          <w:tcPr>
            <w:tcW w:w="1823" w:type="dxa"/>
            <w:vAlign w:val="center"/>
            <w:textDirection w:val="lrTb"/>
          </w:tcPr>
          <w:p>
            <w:pPr>
              <w:pStyle w:val="Normal"/>
              <w:jc w:val="center"/>
              <w:rPr>
                <w:sz w:val="22"/>
                <w:lang w:eastAsia="zh-CN" w:bidi="ar"/>
                <w:szCs w:val="22"/>
                <w:rFonts w:ascii="Times New Roman" w:hAnsi="Times New Roman" w:eastAsia="仿宋"/>
              </w:rPr>
            </w:pPr>
            <w:r>
              <w:rPr>
                <w:sz w:val="22"/>
                <w:lang w:eastAsia="zh-CN" w:bidi="ar"/>
                <w:szCs w:val="22"/>
                <w:rFonts w:ascii="Times New Roman" w:hAnsi="Times New Roman" w:eastAsia="仿宋"/>
              </w:rPr>
              <w:t xml:space="preserve">单位自有资金</w:t>
            </w:r>
            <w:r>
              <w:rPr>
                <w:sz w:val="22"/>
                <w:lang w:eastAsia="zh-CN" w:bidi="ar"/>
                <w:szCs w:val="22"/>
                <w:rFonts w:ascii="Times New Roman" w:hAnsi="Times New Roman" w:eastAsia="仿宋"/>
              </w:rPr>
            </w:r>
          </w:p>
        </w:tc>
        <w:tc>
          <w:tcPr>
            <w:tcW w:w="1231"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10000</w:t>
            </w:r>
            <w:r>
              <w:rPr>
                <w:sz w:val="22"/>
                <w:lang w:eastAsia="zh-CN" w:bidi="ar"/>
                <w:szCs w:val="22"/>
                <w:rFonts w:ascii="Times New Roman" w:hAnsi="Times New Roman" w:eastAsia="仿宋"/>
              </w:rPr>
            </w:r>
          </w:p>
        </w:tc>
        <w:tc>
          <w:tcPr>
            <w:tcW w:w="1216"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10000</w:t>
            </w:r>
            <w:r>
              <w:rPr>
                <w:sz w:val="22"/>
                <w:lang w:eastAsia="zh-CN" w:bidi="ar"/>
                <w:szCs w:val="22"/>
                <w:rFonts w:ascii="Times New Roman" w:hAnsi="Times New Roman" w:eastAsia="仿宋"/>
              </w:rPr>
            </w:r>
          </w:p>
        </w:tc>
        <w:tc>
          <w:tcPr>
            <w:tcW w:w="1216"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20000</w:t>
            </w:r>
            <w:r>
              <w:rPr>
                <w:sz w:val="22"/>
                <w:lang w:eastAsia="zh-CN" w:bidi="ar"/>
                <w:szCs w:val="22"/>
                <w:rFonts w:ascii="Times New Roman" w:hAnsi="Times New Roman" w:eastAsia="仿宋"/>
              </w:rPr>
            </w:r>
          </w:p>
        </w:tc>
        <w:tc>
          <w:tcPr>
            <w:tcW w:w="1653"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36.36%</w:t>
            </w:r>
            <w:r>
              <w:rPr>
                <w:sz w:val="22"/>
                <w:lang w:eastAsia="zh-CN" w:bidi="ar"/>
                <w:szCs w:val="22"/>
                <w:rFonts w:ascii="Times New Roman" w:hAnsi="Times New Roman" w:eastAsia="仿宋"/>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9" w:hRule="atLeast"/>
        </w:trPr>
        <w:tc>
          <w:tcPr>
            <w:tcW w:w="1823" w:type="dxa"/>
            <w:vAlign w:val="center"/>
            <w:textDirection w:val="lrTb"/>
          </w:tcPr>
          <w:p>
            <w:pPr>
              <w:pStyle w:val="Normal"/>
              <w:jc w:val="center"/>
              <w:rPr>
                <w:sz w:val="22"/>
                <w:lang w:eastAsia="zh-CN" w:bidi="ar"/>
                <w:szCs w:val="22"/>
                <w:rFonts w:ascii="Times New Roman" w:hAnsi="Times New Roman" w:eastAsia="仿宋"/>
              </w:rPr>
            </w:pPr>
            <w:r>
              <w:rPr>
                <w:sz w:val="22"/>
                <w:lang w:eastAsia="zh-CN" w:bidi="ar"/>
                <w:szCs w:val="22"/>
                <w:rFonts w:ascii="Times New Roman" w:hAnsi="Times New Roman" w:eastAsia="仿宋"/>
              </w:rPr>
              <w:t xml:space="preserve">专项债券</w:t>
            </w:r>
            <w:r>
              <w:rPr>
                <w:sz w:val="22"/>
                <w:lang w:eastAsia="zh-CN" w:bidi="ar"/>
                <w:szCs w:val="22"/>
                <w:rFonts w:ascii="Times New Roman" w:hAnsi="Times New Roman" w:eastAsia="仿宋"/>
              </w:rPr>
            </w:r>
          </w:p>
        </w:tc>
        <w:tc>
          <w:tcPr>
            <w:tcW w:w="1231"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20000</w:t>
            </w:r>
            <w:r>
              <w:rPr>
                <w:sz w:val="22"/>
                <w:lang w:eastAsia="zh-CN" w:bidi="ar"/>
                <w:szCs w:val="22"/>
                <w:rFonts w:ascii="Times New Roman" w:hAnsi="Times New Roman" w:eastAsia="仿宋"/>
              </w:rPr>
            </w:r>
          </w:p>
        </w:tc>
        <w:tc>
          <w:tcPr>
            <w:tcW w:w="1216"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15000</w:t>
            </w:r>
            <w:r>
              <w:rPr>
                <w:sz w:val="22"/>
                <w:lang w:eastAsia="zh-CN" w:bidi="ar"/>
                <w:szCs w:val="22"/>
                <w:rFonts w:ascii="Times New Roman" w:hAnsi="Times New Roman" w:eastAsia="仿宋"/>
              </w:rPr>
            </w:r>
          </w:p>
        </w:tc>
        <w:tc>
          <w:tcPr>
            <w:tcW w:w="1216"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35000</w:t>
            </w:r>
            <w:r>
              <w:rPr>
                <w:sz w:val="22"/>
                <w:lang w:eastAsia="zh-CN" w:bidi="ar"/>
                <w:szCs w:val="22"/>
                <w:rFonts w:ascii="Times New Roman" w:hAnsi="Times New Roman" w:eastAsia="仿宋"/>
              </w:rPr>
            </w:r>
          </w:p>
        </w:tc>
        <w:tc>
          <w:tcPr>
            <w:tcW w:w="1653"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63.64%</w:t>
            </w:r>
            <w:r>
              <w:rPr>
                <w:sz w:val="22"/>
                <w:lang w:eastAsia="zh-CN" w:bidi="ar"/>
                <w:szCs w:val="22"/>
                <w:rFonts w:ascii="Times New Roman" w:hAnsi="Times New Roman" w:eastAsia="仿宋"/>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8" w:hRule="atLeast"/>
        </w:trPr>
        <w:tc>
          <w:tcPr>
            <w:tcW w:w="1823" w:type="dxa"/>
            <w:vAlign w:val="center"/>
            <w:textDirection w:val="lrTb"/>
          </w:tcPr>
          <w:p>
            <w:pPr>
              <w:pStyle w:val="Normal"/>
              <w:jc w:val="center"/>
              <w:rPr>
                <w:sz w:val="22"/>
                <w:lang w:eastAsia="zh-CN" w:bidi="ar"/>
                <w:szCs w:val="22"/>
                <w:rFonts w:ascii="Times New Roman" w:hAnsi="Times New Roman" w:eastAsia="仿宋"/>
              </w:rPr>
            </w:pPr>
            <w:r>
              <w:rPr>
                <w:sz w:val="22"/>
                <w:lang w:eastAsia="zh-CN" w:bidi="ar"/>
                <w:szCs w:val="22"/>
                <w:rFonts w:ascii="Times New Roman" w:hAnsi="Times New Roman" w:eastAsia="仿宋"/>
              </w:rPr>
              <w:t xml:space="preserve">合计</w:t>
            </w:r>
            <w:r>
              <w:rPr>
                <w:sz w:val="22"/>
                <w:lang w:eastAsia="zh-CN" w:bidi="ar"/>
                <w:szCs w:val="22"/>
                <w:rFonts w:ascii="Times New Roman" w:hAnsi="Times New Roman" w:eastAsia="仿宋"/>
              </w:rPr>
            </w:r>
          </w:p>
        </w:tc>
        <w:tc>
          <w:tcPr>
            <w:tcW w:w="1231"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30000</w:t>
            </w:r>
            <w:r>
              <w:rPr>
                <w:sz w:val="22"/>
                <w:lang w:eastAsia="zh-CN" w:bidi="ar"/>
                <w:szCs w:val="22"/>
                <w:rFonts w:ascii="Times New Roman" w:hAnsi="Times New Roman" w:eastAsia="仿宋"/>
              </w:rPr>
            </w:r>
          </w:p>
        </w:tc>
        <w:tc>
          <w:tcPr>
            <w:tcW w:w="1216"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25000</w:t>
            </w:r>
            <w:r>
              <w:rPr>
                <w:sz w:val="22"/>
                <w:lang w:eastAsia="zh-CN" w:bidi="ar"/>
                <w:szCs w:val="22"/>
                <w:rFonts w:ascii="Times New Roman" w:hAnsi="Times New Roman" w:eastAsia="仿宋"/>
              </w:rPr>
            </w:r>
          </w:p>
        </w:tc>
        <w:tc>
          <w:tcPr>
            <w:tcW w:w="1216"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55000</w:t>
            </w:r>
            <w:r>
              <w:rPr>
                <w:sz w:val="22"/>
                <w:lang w:eastAsia="zh-CN" w:bidi="ar"/>
                <w:szCs w:val="22"/>
                <w:rFonts w:ascii="Times New Roman" w:hAnsi="Times New Roman" w:eastAsia="仿宋"/>
              </w:rPr>
            </w:r>
          </w:p>
        </w:tc>
        <w:tc>
          <w:tcPr>
            <w:tcW w:w="1653"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100%</w:t>
            </w:r>
            <w:r>
              <w:rPr>
                <w:sz w:val="22"/>
                <w:lang w:eastAsia="zh-CN" w:bidi="ar"/>
                <w:szCs w:val="22"/>
                <w:rFonts w:ascii="Times New Roman" w:hAnsi="Times New Roman" w:eastAsia="仿宋"/>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3" w:hRule="atLeast"/>
        </w:trPr>
        <w:tc>
          <w:tcPr>
            <w:tcW w:w="1823" w:type="dxa"/>
            <w:vAlign w:val="center"/>
            <w:textDirection w:val="lrTb"/>
          </w:tcPr>
          <w:p>
            <w:pPr>
              <w:pStyle w:val="Normal"/>
              <w:jc w:val="center"/>
              <w:rPr>
                <w:sz w:val="22"/>
                <w:lang w:eastAsia="zh-CN" w:bidi="ar"/>
                <w:szCs w:val="22"/>
                <w:rFonts w:ascii="Times New Roman" w:hAnsi="Times New Roman" w:eastAsia="仿宋"/>
              </w:rPr>
            </w:pPr>
            <w:r>
              <w:rPr>
                <w:sz w:val="22"/>
                <w:lang w:eastAsia="zh-CN" w:bidi="ar"/>
                <w:szCs w:val="22"/>
                <w:rFonts w:ascii="Times New Roman" w:hAnsi="Times New Roman" w:eastAsia="仿宋"/>
              </w:rPr>
              <w:t xml:space="preserve">分年度占比</w:t>
            </w:r>
            <w:r>
              <w:rPr>
                <w:sz w:val="22"/>
                <w:lang w:eastAsia="zh-CN" w:bidi="ar"/>
                <w:szCs w:val="22"/>
                <w:rFonts w:ascii="Times New Roman" w:hAnsi="Times New Roman" w:eastAsia="仿宋"/>
              </w:rPr>
            </w:r>
          </w:p>
        </w:tc>
        <w:tc>
          <w:tcPr>
            <w:tcW w:w="1231"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54.55%</w:t>
            </w:r>
            <w:r>
              <w:rPr>
                <w:sz w:val="22"/>
                <w:lang w:eastAsia="zh-CN" w:bidi="ar"/>
                <w:szCs w:val="22"/>
                <w:rFonts w:ascii="Times New Roman" w:hAnsi="Times New Roman" w:eastAsia="仿宋"/>
              </w:rPr>
            </w:r>
          </w:p>
        </w:tc>
        <w:tc>
          <w:tcPr>
            <w:tcW w:w="1216"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45.45%</w:t>
            </w:r>
            <w:r>
              <w:rPr>
                <w:sz w:val="22"/>
                <w:lang w:eastAsia="zh-CN" w:bidi="ar"/>
                <w:szCs w:val="22"/>
                <w:rFonts w:ascii="Times New Roman" w:hAnsi="Times New Roman" w:eastAsia="仿宋"/>
              </w:rPr>
            </w:r>
          </w:p>
        </w:tc>
        <w:tc>
          <w:tcPr>
            <w:tcW w:w="1216" w:type="dxa"/>
            <w:vAlign w:val="center"/>
            <w:textDirection w:val="lrTb"/>
          </w:tcPr>
          <w:p>
            <w:pPr>
              <w:pStyle w:val="Normal"/>
              <w:jc w:val="center"/>
              <w:rPr>
                <w:sz w:val="22"/>
                <w:lang w:eastAsia="zh-CN" w:bidi="ar"/>
                <w:szCs w:val="22"/>
                <w:rFonts w:ascii="Times New Roman" w:hAnsi="Times New Roman" w:eastAsia="仿宋" w:hint="eastAsia"/>
              </w:rPr>
            </w:pPr>
            <w:r>
              <w:rPr>
                <w:sz w:val="22"/>
                <w:lang w:eastAsia="zh-CN" w:bidi="ar"/>
                <w:szCs w:val="22"/>
                <w:rFonts w:ascii="Times New Roman" w:hAnsi="Times New Roman" w:eastAsia="仿宋" w:hint="eastAsia"/>
              </w:rPr>
              <w:t xml:space="preserve">100%</w:t>
            </w:r>
            <w:r>
              <w:rPr>
                <w:sz w:val="22"/>
                <w:lang w:eastAsia="zh-CN" w:bidi="ar"/>
                <w:szCs w:val="22"/>
                <w:rFonts w:ascii="Times New Roman" w:hAnsi="Times New Roman" w:eastAsia="仿宋"/>
              </w:rPr>
            </w:r>
          </w:p>
        </w:tc>
        <w:tc>
          <w:tcPr>
            <w:tcW w:w="1653" w:type="dxa"/>
            <w:vAlign w:val="center"/>
            <w:textDirection w:val="lrTb"/>
          </w:tcPr>
          <w:p>
            <w:pPr>
              <w:pStyle w:val="Normal"/>
              <w:jc w:val="center"/>
              <w:rPr>
                <w:sz w:val="22"/>
                <w:lang w:eastAsia="zh-CN" w:bidi="ar"/>
                <w:szCs w:val="22"/>
                <w:rFonts w:ascii="Times New Roman" w:hAnsi="Times New Roman" w:eastAsia="仿宋"/>
              </w:rPr>
            </w:pPr>
            <w:r>
              <w:rPr>
                <w:sz w:val="22"/>
                <w:lang w:eastAsia="zh-CN" w:bidi="ar"/>
                <w:szCs w:val="22"/>
                <w:rFonts w:ascii="Times New Roman" w:hAnsi="Times New Roman" w:eastAsia="仿宋"/>
              </w:rPr>
            </w:r>
          </w:p>
        </w:tc>
      </w:tr>
    </w:tbl>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szCs w:val="32"/>
          <w:rFonts w:ascii="黑体" w:hAnsi="黑体" w:eastAsia="黑体" w:hint="eastAsia"/>
        </w:rPr>
      </w:pPr>
      <w:r>
        <w:rPr>
          <w:sz w:val="32"/>
          <w:szCs w:val="32"/>
          <w:rFonts w:ascii="黑体" w:hAnsi="黑体" w:eastAsia="黑体" w:hint="eastAsia"/>
        </w:rPr>
        <w:t xml:space="preserve">四、项目预期收益、成本及融资平衡情况</w:t>
      </w:r>
      <w:r>
        <w:rPr>
          <w:sz w:val="32"/>
          <w:szCs w:val="32"/>
          <w:rFonts w:ascii="黑体" w:hAnsi="黑体" w:eastAsia="黑体"/>
        </w:rPr>
      </w:r>
    </w:p>
    <w:p>
      <w:pPr>
        <w:pStyle w:val="Normal"/>
        <w:keepNext w:val="0"/>
        <w:keepLines w:val="0"/>
        <w:pageBreakBefore w:val="0"/>
        <w:wordWrap w:val="1"/>
        <w:overflowPunct w:val="1"/>
        <w:topLinePunct w:val="0"/>
        <w:kinsoku w:val="1"/>
        <w:autoSpaceDE w:val="1"/>
        <w:autoSpaceDN w:val="1"/>
        <w:bidi w:val="0"/>
        <w:outlineLvl w:val="1"/>
        <w:spacing w:line="560" w:lineRule="exact"/>
        <w:ind w:firstLine="643" w:firstLineChars="200" w:left="0" w:leftChars="0"/>
        <w:rPr>
          <w:b w:val="1"/>
          <w:sz w:val="32"/>
          <w:szCs w:val="32"/>
          <w:rFonts w:ascii="楷体_GB2312" w:eastAsia="楷体_GB2312" w:hint="eastAsia"/>
        </w:rPr>
      </w:pPr>
      <w:r>
        <w:rPr>
          <w:b w:val="1"/>
          <w:sz w:val="32"/>
          <w:szCs w:val="32"/>
          <w:rFonts w:ascii="楷体_GB2312" w:eastAsia="楷体_GB2312" w:hint="eastAsia"/>
        </w:rPr>
        <w:t xml:space="preserve">（一）预期收益</w:t>
      </w:r>
      <w:r>
        <w:rPr>
          <w:b w:val="1"/>
          <w:sz w:val="32"/>
          <w:szCs w:val="32"/>
          <w:rFonts w:ascii="楷体_GB2312" w:eastAsia="楷体_GB2312"/>
        </w:rPr>
      </w:r>
    </w:p>
    <w:p>
      <w:pPr>
        <w:pStyle w:val="Normal"/>
        <w:keepNext w:val="0"/>
        <w:keepLines w:val="0"/>
        <w:pageBreakBefore w:val="0"/>
        <w:wordWrap w:val="1"/>
        <w:overflowPunct w:val="1"/>
        <w:topLinePunct w:val="0"/>
        <w:kinsoku w:val="1"/>
        <w:autoSpaceDE w:val="1"/>
        <w:autoSpaceDN w:val="1"/>
        <w:bidi w:val="0"/>
        <w:spacing w:line="560" w:lineRule="exact"/>
        <w:ind w:firstLine="643" w:firstLineChars="200" w:left="0" w:leftChars="0"/>
        <w:rPr>
          <w:b w:val="1"/>
          <w:sz w:val="32"/>
          <w:szCs w:val="32"/>
          <w:rFonts w:ascii="仿宋_GB2312" w:eastAsia="仿宋_GB2312" w:hint="eastAsia"/>
        </w:rPr>
      </w:pPr>
      <w:r>
        <w:rPr>
          <w:b w:val="1"/>
          <w:sz w:val="32"/>
          <w:szCs w:val="32"/>
          <w:rFonts w:ascii="仿宋_GB2312" w:eastAsia="仿宋_GB2312" w:hint="eastAsia"/>
        </w:rPr>
        <w:t xml:space="preserve">1.项目收入</w:t>
      </w:r>
      <w:r>
        <w:rPr>
          <w:b w:val="1"/>
          <w:sz w:val="32"/>
          <w:szCs w:val="32"/>
          <w:rFonts w:ascii="仿宋_GB2312" w:eastAsia="仿宋_GB2312" w:hint="eastAsia"/>
        </w:rPr>
      </w:r>
    </w:p>
    <w:p>
      <w:pPr>
        <w:pStyle w:val="Normal"/>
        <w:keepNext w:val="0"/>
        <w:keepLines w:val="0"/>
        <w:pageBreakBefore w:val="0"/>
        <w:wordWrap w:val="1"/>
        <w:overflowPunct w:val="1"/>
        <w:topLinePunct w:val="0"/>
        <w:kinsoku w:val="1"/>
        <w:autoSpaceDE w:val="1"/>
        <w:autoSpaceDN w:val="1"/>
        <w:bidi w:val="0"/>
        <w:snapToGrid w:val="1"/>
        <w:widowControl w:val="off"/>
        <w:numPr>
          <w:ilvl w:val="0"/>
          <w:numId w:val="0"/>
        </w:numPr>
        <w:spacing w:line="560" w:lineRule="exact"/>
        <w:ind w:firstLine="640" w:left="0" w:leftChars="0"/>
        <w:rPr>
          <w:sz w:val="32"/>
          <w:lang w:val="en-US" w:eastAsia="zh-CN"/>
          <w:szCs w:val="32"/>
          <w:rFonts w:ascii="仿宋" w:hAnsi="仿宋" w:eastAsia="仿宋"/>
        </w:rPr>
      </w:pPr>
      <w:r>
        <w:rPr>
          <w:sz w:val="32"/>
          <w:lang w:val="en-US" w:eastAsia="zh-CN"/>
          <w:szCs w:val="32"/>
          <w:rFonts w:ascii="仿宋" w:hAnsi="仿宋" w:eastAsia="仿宋"/>
        </w:rPr>
        <w:t xml:space="preserve">运营期内，本项目经营性收入合计127,846.27万元，包括：标准厂房出租收入22,287.96万元，多层厂房出租收入74,998.00万元，园区物业收入5,569.51万元，广告牌收入4,163.73万元，停车场收入20,827.06万元，具有收入可行性</w:t>
      </w:r>
      <w:r>
        <w:rPr>
          <w:sz w:val="32"/>
          <w:lang w:val="en-US" w:eastAsia="zh-CN"/>
          <w:szCs w:val="32"/>
          <w:rFonts w:ascii="仿宋" w:hAnsi="仿宋" w:eastAsia="仿宋" w:hint="eastAsia"/>
        </w:rPr>
        <w:t xml:space="preserve">。</w:t>
      </w:r>
      <w:r>
        <w:rPr>
          <w:sz w:val="32"/>
          <w:lang w:val="en-US" w:eastAsia="zh-CN"/>
          <w:szCs w:val="32"/>
          <w:rFonts w:ascii="仿宋" w:hAnsi="仿宋" w:eastAsia="仿宋"/>
        </w:rPr>
      </w:r>
    </w:p>
    <w:p>
      <w:pPr>
        <w:pStyle w:val="Normal"/>
        <w:keepNext w:val="0"/>
        <w:keepLines w:val="0"/>
        <w:pageBreakBefore w:val="0"/>
        <w:wordWrap w:val="1"/>
        <w:overflowPunct w:val="1"/>
        <w:topLinePunct w:val="0"/>
        <w:kinsoku w:val="1"/>
        <w:autoSpaceDE w:val="1"/>
        <w:autoSpaceDN w:val="1"/>
        <w:bidi w:val="0"/>
        <w:spacing w:line="560" w:lineRule="exact"/>
        <w:ind w:firstLine="643" w:firstLineChars="200" w:left="0" w:leftChars="0"/>
        <w:rPr>
          <w:b w:val="1"/>
          <w:sz w:val="32"/>
          <w:lang w:val="en-US" w:eastAsia="zh-CN"/>
          <w:szCs w:val="32"/>
          <w:rFonts w:ascii="仿宋_GB2312" w:hAnsi="Times New Roman" w:eastAsia="仿宋_GB2312" w:hint="eastAsia"/>
        </w:rPr>
      </w:pPr>
      <w:r>
        <w:rPr>
          <w:b w:val="1"/>
          <w:sz w:val="32"/>
          <w:lang w:val="en-US" w:eastAsia="zh-CN"/>
          <w:szCs w:val="32"/>
          <w:rFonts w:ascii="仿宋_GB2312" w:hAnsi="Times New Roman" w:eastAsia="仿宋_GB2312" w:hint="eastAsia"/>
        </w:rPr>
        <w:t xml:space="preserve">2.</w:t>
      </w:r>
      <w:r>
        <w:rPr>
          <w:b w:val="1"/>
          <w:sz w:val="32"/>
          <w:szCs w:val="32"/>
          <w:rFonts w:ascii="仿宋_GB2312" w:hAnsi="Times New Roman" w:eastAsia="仿宋_GB2312" w:hint="eastAsia"/>
        </w:rPr>
        <w:t xml:space="preserve">项目成本</w:t>
      </w:r>
      <w:r>
        <w:rPr>
          <w:b w:val="1"/>
          <w:sz w:val="32"/>
          <w:szCs w:val="32"/>
          <w:rFonts w:ascii="仿宋_GB2312" w:hAnsi="Times New Roman"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项目总成本包括经营成本、折旧费、税金、管理费用、销售费用、财务费用等。</w:t>
      </w:r>
      <w:r>
        <w:rPr>
          <w:lang w:val="en-US"/>
        </w:rPr>
      </w:r>
    </w:p>
    <w:p>
      <w:pPr>
        <w:pStyle w:val="Normal"/>
        <w:keepNext w:val="0"/>
        <w:keepLines w:val="0"/>
        <w:pageBreakBefore w:val="0"/>
        <w:wordWrap w:val="1"/>
        <w:overflowPunct w:val="1"/>
        <w:topLinePunct w:val="0"/>
        <w:kinsoku w:val="1"/>
        <w:autoSpaceDE w:val="1"/>
        <w:autoSpaceDN w:val="1"/>
        <w:bidi w:val="0"/>
        <w:outlineLvl w:val="1"/>
        <w:spacing w:line="560" w:lineRule="exact"/>
        <w:ind w:firstLine="643" w:firstLineChars="200" w:left="0" w:leftChars="0"/>
        <w:rPr>
          <w:b w:val="1"/>
          <w:sz w:val="32"/>
          <w:szCs w:val="32"/>
          <w:rFonts w:ascii="楷体_GB2312" w:eastAsia="楷体_GB2312" w:hint="eastAsia"/>
        </w:rPr>
      </w:pPr>
      <w:r>
        <w:rPr>
          <w:b w:val="1"/>
          <w:sz w:val="32"/>
          <w:szCs w:val="32"/>
          <w:rFonts w:ascii="楷体_GB2312" w:eastAsia="楷体_GB2312" w:hint="eastAsia"/>
        </w:rPr>
        <w:t xml:space="preserve">（二）资金测算平衡情况</w:t>
      </w:r>
      <w:r>
        <w:rPr>
          <w:b w:val="1"/>
          <w:sz w:val="32"/>
          <w:szCs w:val="32"/>
          <w:rFonts w:ascii="楷体_GB2312" w:eastAsia="楷体_GB2312"/>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根据测算，截止204</w:t>
      </w:r>
      <w:r>
        <w:rPr>
          <w:sz w:val="32"/>
          <w:lang w:val="en-US" w:eastAsia="zh-CN"/>
          <w:szCs w:val="32"/>
          <w:rFonts w:ascii="仿宋_GB2312" w:hAnsi="华文楷体" w:eastAsia="仿宋_GB2312" w:hint="eastAsia"/>
        </w:rPr>
        <w:t xml:space="preserve">4</w:t>
      </w:r>
      <w:r>
        <w:rPr>
          <w:sz w:val="32"/>
          <w:lang w:val="en-GB"/>
          <w:szCs w:val="32"/>
          <w:rFonts w:ascii="仿宋_GB2312" w:hAnsi="华文楷体" w:eastAsia="仿宋_GB2312" w:hint="eastAsia"/>
        </w:rPr>
        <w:t xml:space="preserve">年项目累计息前净现金流量为93666.05万元，专项债融资还本付息金额合计</w:t>
      </w:r>
      <w:r>
        <w:rPr>
          <w:sz w:val="32"/>
          <w:lang w:val="en-US" w:eastAsia="zh-CN"/>
          <w:szCs w:val="32"/>
          <w:rFonts w:ascii="仿宋_GB2312" w:hAnsi="华文楷体" w:eastAsia="仿宋_GB2312" w:hint="eastAsia"/>
        </w:rPr>
        <w:t xml:space="preserve">60200</w:t>
      </w:r>
      <w:r>
        <w:rPr>
          <w:sz w:val="32"/>
          <w:lang w:val="en-GB"/>
          <w:szCs w:val="32"/>
          <w:rFonts w:ascii="仿宋_GB2312" w:hAnsi="华文楷体" w:eastAsia="仿宋_GB2312" w:hint="eastAsia"/>
        </w:rPr>
        <w:t xml:space="preserve">.00万元。</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偿债覆盖率=项目息前净现金流量÷债券还本付息总额=1.</w:t>
      </w:r>
      <w:r>
        <w:rPr>
          <w:sz w:val="32"/>
          <w:lang w:val="en-US" w:eastAsia="zh-CN"/>
          <w:szCs w:val="32"/>
          <w:rFonts w:ascii="仿宋_GB2312" w:hAnsi="华文楷体" w:eastAsia="仿宋_GB2312" w:hint="eastAsia"/>
        </w:rPr>
        <w:t xml:space="preserve">56</w:t>
      </w:r>
      <w:r>
        <w:rPr>
          <w:sz w:val="32"/>
          <w:lang w:val="en-GB"/>
          <w:szCs w:val="32"/>
          <w:rFonts w:ascii="仿宋_GB2312" w:hAnsi="华文楷体" w:eastAsia="仿宋_GB2312" w:hint="eastAsia"/>
        </w:rPr>
        <w:t xml:space="preserve">。</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GB"/>
          <w:szCs w:val="32"/>
          <w:rFonts w:ascii="仿宋_GB2312" w:hAnsi="华文楷体" w:eastAsia="仿宋_GB2312" w:hint="eastAsia"/>
        </w:rPr>
        <w:sectPr>
          <w:headerReference r:id="rId6" w:type="first"/>
          <w:headerReference r:id="rId5" w:type="default"/>
          <w:headerReference r:id="rId4" w:type="even"/>
          <w:footerReference r:id="rId8" w:type="default"/>
          <w:footerReference r:id="rId7" w:type="even"/>
          <w:type w:val="nextPage"/>
          <w:docGrid w:type="lines" w:linePitch="435"/>
          <w:pgSz w:w="11906" w:h="16838"/>
          <w:pgMar w:top="2098" w:right="1418" w:bottom="1588" w:left="1644" w:header="851" w:footer="992" w:gutter="0"/>
          <w:pgNumType w:fmt="57"/>
        </w:sectPr>
      </w:pPr>
      <w:r>
        <w:rPr>
          <w:sz w:val="32"/>
          <w:lang w:val="en-GB"/>
          <w:szCs w:val="32"/>
          <w:rFonts w:ascii="仿宋_GB2312" w:hAnsi="华文楷体" w:eastAsia="仿宋_GB2312" w:hint="eastAsia"/>
        </w:rPr>
        <w:t xml:space="preserve">综上，本次评价的安州高新区园区配套基础设施建设项目（二期）,预期实现的运营净收入能够合理保障偿还政府专项债本金和利息,对项目专项债融资整体的覆盖率为1.</w:t>
      </w:r>
      <w:r>
        <w:rPr>
          <w:sz w:val="32"/>
          <w:lang w:val="en-US" w:eastAsia="zh-CN"/>
          <w:szCs w:val="32"/>
          <w:rFonts w:ascii="仿宋_GB2312" w:hAnsi="华文楷体" w:eastAsia="仿宋_GB2312" w:hint="eastAsia"/>
        </w:rPr>
        <w:t xml:space="preserve">56</w:t>
      </w:r>
      <w:r>
        <w:rPr>
          <w:sz w:val="32"/>
          <w:lang w:val="en-GB"/>
          <w:szCs w:val="32"/>
          <w:rFonts w:ascii="仿宋_GB2312" w:hAnsi="华文楷体" w:eastAsia="仿宋_GB2312" w:hint="eastAsia"/>
        </w:rPr>
        <w:t xml:space="preserve">倍，能够实现项目收益和融资自求平衡。</w:t>
      </w:r>
    </w:p>
    <w:tbl>
      <w:tblPr>
        <w:tblW w:w="16499" w:type="dxa"/>
        <w:jc w:val="center"/>
        <w:tblInd w:type="dxa" w:w="-108.000000"/>
        <w:tblLayout w:type="autofit"/>
        <w:tblCellMar>
          <w:top w:type="dxa" w:w="0.000000"/>
          <w:bottom w:type="dxa" w:w="0.000000"/>
          <w:left w:type="dxa" w:w="108.000000"/>
          <w:right w:type="dxa" w:w="108.000000"/>
        </w:tblCellMar>
      </w:tblPr>
      <w:tblGrid>
        <w:gridCol w:w="1016.000000"/>
        <w:gridCol w:w="1016.000000"/>
        <w:gridCol w:w="717.000000"/>
        <w:gridCol w:w="661.000000"/>
        <w:gridCol w:w="661.000000"/>
        <w:gridCol w:w="606.000000"/>
        <w:gridCol w:w="606.000000"/>
        <w:gridCol w:w="606.000000"/>
        <w:gridCol w:w="661.000000"/>
        <w:gridCol w:w="661.000000"/>
        <w:gridCol w:w="661.000000"/>
        <w:gridCol w:w="661.000000"/>
        <w:gridCol w:w="661.000000"/>
        <w:gridCol w:w="661.000000"/>
        <w:gridCol w:w="661.000000"/>
        <w:gridCol w:w="661.000000"/>
        <w:gridCol w:w="661.000000"/>
        <w:gridCol w:w="661.000000"/>
        <w:gridCol w:w="661.000000"/>
        <w:gridCol w:w="661.000000"/>
        <w:gridCol w:w="661.000000"/>
        <w:gridCol w:w="661.000000"/>
        <w:gridCol w:w="661.000000"/>
        <w:gridCol w:w="695.000000"/>
      </w:tblGrid>
      <w:tr>
        <w:trPr>
          <w:trHeight w:val="368" w:hRule="atLeast"/>
        </w:trPr>
        <w:tc>
          <w:tcPr>
            <w:tcW w:w="1016"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b w:val="1"/>
                <w:sz w:val="10"/>
                <w:lang w:eastAsia="zh-CN" w:bidi="ar"/>
                <w:szCs w:val="10"/>
                <w:bCs/>
                <w:rFonts w:ascii="宋体" w:hAnsi="宋体" w:eastAsia="宋体" w:hint="eastAsia"/>
              </w:rPr>
            </w:pPr>
            <w:r>
              <w:rPr>
                <w:b w:val="1"/>
                <w:sz w:val="10"/>
                <w:lang w:eastAsia="zh-CN" w:bidi="ar"/>
                <w:szCs w:val="10"/>
                <w:bCs/>
                <w:rFonts w:ascii="宋体" w:hAnsi="宋体" w:eastAsia="宋体" w:hint="eastAsia"/>
              </w:rPr>
              <w:t xml:space="preserve">序号</w:t>
            </w:r>
            <w:r>
              <w:rPr>
                <w:b w:val="1"/>
                <w:sz w:val="10"/>
                <w:szCs w:val="10"/>
                <w:bCs/>
                <w:rFonts w:ascii="宋体" w:hAnsi="宋体" w:eastAsia="宋体" w:hint="eastAsia"/>
              </w:rPr>
            </w:r>
          </w:p>
        </w:tc>
        <w:tc>
          <w:tcPr>
            <w:tcW w:w="1016"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b w:val="1"/>
                <w:sz w:val="10"/>
                <w:lang w:eastAsia="zh-CN" w:bidi="ar"/>
                <w:szCs w:val="10"/>
                <w:bCs/>
                <w:rFonts w:ascii="宋体" w:hAnsi="宋体" w:eastAsia="宋体" w:hint="eastAsia"/>
              </w:rPr>
            </w:pPr>
            <w:r>
              <w:rPr>
                <w:b w:val="1"/>
                <w:sz w:val="10"/>
                <w:lang w:eastAsia="zh-CN" w:bidi="ar"/>
                <w:szCs w:val="10"/>
                <w:bCs/>
                <w:rFonts w:ascii="宋体" w:hAnsi="宋体" w:eastAsia="宋体" w:hint="eastAsia"/>
              </w:rPr>
              <w:t xml:space="preserve">项目</w:t>
            </w:r>
            <w:r>
              <w:rPr>
                <w:b w:val="1"/>
                <w:sz w:val="10"/>
                <w:szCs w:val="10"/>
                <w:bCs/>
                <w:rFonts w:ascii="宋体" w:hAnsi="宋体" w:eastAsia="宋体" w:hint="eastAsia"/>
              </w:rPr>
            </w:r>
          </w:p>
        </w:tc>
        <w:tc>
          <w:tcPr>
            <w:tcW w:w="717"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b w:val="1"/>
                <w:sz w:val="10"/>
                <w:lang w:eastAsia="zh-CN" w:bidi="ar"/>
                <w:szCs w:val="10"/>
                <w:bCs/>
                <w:rFonts w:ascii="宋体" w:hAnsi="宋体" w:eastAsia="宋体" w:hint="eastAsia"/>
              </w:rPr>
            </w:pPr>
            <w:r>
              <w:rPr>
                <w:b w:val="1"/>
                <w:sz w:val="10"/>
                <w:lang w:eastAsia="zh-CN" w:bidi="ar"/>
                <w:szCs w:val="10"/>
                <w:bCs/>
                <w:rFonts w:ascii="宋体" w:hAnsi="宋体" w:eastAsia="宋体" w:hint="eastAsia"/>
              </w:rPr>
              <w:t xml:space="preserve">合计</w:t>
            </w:r>
            <w:r>
              <w:rPr>
                <w:b w:val="1"/>
                <w:sz w:val="10"/>
                <w:szCs w:val="10"/>
                <w:bCs/>
                <w:rFonts w:ascii="宋体" w:hAnsi="宋体" w:eastAsia="宋体" w:hint="eastAsia"/>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2024年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2025年</w:t>
            </w:r>
            <w:r>
              <w:rPr>
                <w:b w:val="1"/>
                <w:sz w:val="10"/>
                <w:szCs w:val="10"/>
                <w:bCs/>
                <w:rFonts w:ascii="Arial Narrow" w:hAnsi="Arial Narrow" w:eastAsia="Arial Narrow"/>
              </w:rPr>
            </w:r>
          </w:p>
        </w:tc>
        <w:tc>
          <w:tcPr>
            <w:tcW w:w="606"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2026年</w:t>
            </w:r>
            <w:r>
              <w:rPr>
                <w:b w:val="1"/>
                <w:sz w:val="10"/>
                <w:szCs w:val="10"/>
                <w:bCs/>
                <w:rFonts w:ascii="Arial Narrow" w:hAnsi="Arial Narrow" w:eastAsia="Arial Narrow"/>
              </w:rPr>
            </w:r>
          </w:p>
        </w:tc>
        <w:tc>
          <w:tcPr>
            <w:tcW w:w="606"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2027年</w:t>
            </w:r>
            <w:r>
              <w:rPr>
                <w:b w:val="1"/>
                <w:sz w:val="10"/>
                <w:szCs w:val="10"/>
                <w:bCs/>
                <w:rFonts w:ascii="Arial Narrow" w:hAnsi="Arial Narrow" w:eastAsia="Arial Narrow"/>
              </w:rPr>
            </w:r>
          </w:p>
        </w:tc>
        <w:tc>
          <w:tcPr>
            <w:tcW w:w="606"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2028年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end"/>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2029年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2030年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2031年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2032年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2033年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2034年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2035年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2036年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2037年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2038年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2039年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2040年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2041年</w:t>
            </w:r>
            <w:r>
              <w:rPr>
                <w:b w:val="1"/>
                <w:sz w:val="10"/>
                <w:szCs w:val="10"/>
                <w:bCs/>
                <w:rFonts w:ascii="Arial Narrow" w:hAnsi="Arial Narrow" w:eastAsia="Arial Narrow"/>
              </w:rPr>
            </w:r>
          </w:p>
        </w:tc>
        <w:tc>
          <w:tcPr>
            <w:tcW w:w="661" w:type="dxa"/>
            <w:vAlign w:val="center"/>
            <w:shd w:val="clear" w:color="auto" w:fill="F2F2F2"/>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2042年</w:t>
            </w:r>
            <w:r>
              <w:rPr>
                <w:b w:val="1"/>
                <w:sz w:val="10"/>
                <w:szCs w:val="10"/>
                <w:bCs/>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2043年</w:t>
            </w:r>
            <w:r>
              <w:rPr>
                <w:b w:val="1"/>
                <w:sz w:val="10"/>
                <w:szCs w:val="10"/>
                <w:bCs/>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b w:val="1"/>
                <w:sz w:val="10"/>
                <w:lang w:eastAsia="zh-CN" w:bidi="ar"/>
                <w:szCs w:val="10"/>
                <w:bCs/>
                <w:rFonts w:ascii="Arial Narrow" w:hAnsi="Arial Narrow" w:eastAsia="Arial Narrow"/>
              </w:rPr>
            </w:pPr>
            <w:r>
              <w:rPr>
                <w:b w:val="1"/>
                <w:sz w:val="10"/>
                <w:lang w:eastAsia="zh-CN" w:bidi="ar"/>
                <w:szCs w:val="10"/>
                <w:bCs/>
                <w:rFonts w:ascii="Arial Narrow" w:hAnsi="Arial Narrow" w:eastAsia="Arial Narrow"/>
              </w:rPr>
              <w:t xml:space="preserve">2044年</w:t>
            </w:r>
            <w:r>
              <w:rPr>
                <w:b w:val="1"/>
                <w:sz w:val="10"/>
                <w:szCs w:val="10"/>
                <w:bCs/>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资金来源</w:t>
            </w:r>
            <w:r>
              <w:rPr>
                <w:sz w:val="10"/>
                <w:szCs w:val="10"/>
                <w:rFonts w:ascii="宋体" w:hAnsi="宋体" w:eastAsia="宋体" w:hint="eastAsia"/>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宋体" w:hAnsi="宋体" w:eastAsia="宋体" w:hint="eastAsia"/>
              </w:rPr>
            </w:pP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jc w:val="center"/>
              <w:rPr>
                <w:sz w:val="10"/>
                <w:szCs w:val="10"/>
                <w:rFonts w:ascii="Arial Narrow" w:hAnsi="Arial Narrow" w:eastAsia="Arial Narrow"/>
              </w:rPr>
            </w:pP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w:t>
            </w:r>
            <w:r>
              <w:rPr>
                <w:sz w:val="10"/>
                <w:szCs w:val="10"/>
                <w:rFonts w:ascii="Arial Narrow" w:hAnsi="Arial Narrow" w:eastAsia="Arial Narrow"/>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项目资本金</w:t>
            </w: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20,000.00</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10,000.00</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10,000.00</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1.1</w:t>
            </w:r>
            <w:r>
              <w:rPr>
                <w:sz w:val="10"/>
                <w:szCs w:val="10"/>
                <w:rFonts w:ascii="Arial Narrow" w:hAnsi="Arial Narrow" w:eastAsia="Arial Narrow"/>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财政性投入</w:t>
            </w: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w:t>
            </w:r>
            <w:r>
              <w:rPr>
                <w:sz w:val="10"/>
                <w:szCs w:val="10"/>
                <w:rFonts w:ascii="Arial Narrow" w:hAnsi="Arial Narrow" w:eastAsia="Arial Narrow"/>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项目业主自筹</w:t>
            </w: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20,000.00</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10,000.00</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10,000.00</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w:t>
            </w:r>
            <w:r>
              <w:rPr>
                <w:sz w:val="10"/>
                <w:szCs w:val="10"/>
                <w:rFonts w:ascii="Arial Narrow" w:hAnsi="Arial Narrow" w:eastAsia="Arial Narrow"/>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融资资金</w:t>
            </w: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35,000.00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20,000.00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15,000.00</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2.1</w:t>
            </w:r>
            <w:r>
              <w:rPr>
                <w:sz w:val="10"/>
                <w:szCs w:val="10"/>
                <w:rFonts w:ascii="Arial Narrow" w:hAnsi="Arial Narrow" w:eastAsia="Arial Narrow"/>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政府专项债券本金</w:t>
            </w: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35,000.00</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20,000.00</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15,000.00</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2.2</w:t>
            </w:r>
            <w:r>
              <w:rPr>
                <w:sz w:val="10"/>
                <w:szCs w:val="10"/>
                <w:rFonts w:ascii="Arial Narrow" w:hAnsi="Arial Narrow" w:eastAsia="Arial Narrow"/>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市场化融资本金</w:t>
            </w: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w:t>
            </w:r>
            <w:r>
              <w:rPr>
                <w:sz w:val="10"/>
                <w:szCs w:val="10"/>
                <w:rFonts w:ascii="Arial Narrow" w:hAnsi="Arial Narrow" w:eastAsia="Arial Narrow"/>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项目收益</w:t>
            </w: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93,977.33</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776.08</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3,167.96</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3,640.22</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4,374.94</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4,668.77</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4,666.61</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4,964.57</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4,962.36</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4,688.22</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4,927.17</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4,925.46</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4,923.73</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5,179.37</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5,177.59</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5,175.80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5,449.44</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5,447.60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5,445.75</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5,738.80</w:t>
            </w: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5,676.90</w:t>
            </w:r>
            <w:r>
              <w:rPr>
                <w:sz w:val="10"/>
                <w:szCs w:val="10"/>
                <w:rFonts w:ascii="Arial Narrow" w:hAnsi="Arial Narrow" w:eastAsia="Arial Narrow"/>
              </w:rPr>
            </w:r>
          </w:p>
        </w:tc>
      </w:tr>
      <w:tr>
        <w:trPr>
          <w:trHeight w:val="370"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资金来源小计</w:t>
            </w: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148,977.33</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30,000.00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25,776.08</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3,167.96</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3,640.22</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4,374.94</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4,668.77</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4,666.61</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4,964.57</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4,962.36</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4,688.22</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4,927.17</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4,925.46</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4,923.73</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5,179.37</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5,177.59</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5,175.80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5,449.44</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5,447.60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5,445.75</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5,738.80</w:t>
            </w: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5,676.90</w:t>
            </w: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资金占用</w:t>
            </w:r>
            <w:r>
              <w:rPr>
                <w:sz w:val="10"/>
                <w:szCs w:val="10"/>
                <w:rFonts w:ascii="宋体" w:hAnsi="宋体" w:eastAsia="宋体" w:hint="eastAsia"/>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宋体" w:hAnsi="宋体" w:eastAsia="宋体" w:hint="eastAsia"/>
              </w:rPr>
            </w:pP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w:t>
            </w:r>
            <w:r>
              <w:rPr>
                <w:sz w:val="10"/>
                <w:szCs w:val="10"/>
                <w:rFonts w:ascii="Arial Narrow" w:hAnsi="Arial Narrow" w:eastAsia="Arial Narrow"/>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项目建设投资</w:t>
            </w: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53,885.00</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29,740.00</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24,145.00</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w:t>
            </w:r>
            <w:r>
              <w:rPr>
                <w:sz w:val="10"/>
                <w:szCs w:val="10"/>
                <w:rFonts w:ascii="Arial Narrow" w:hAnsi="Arial Narrow" w:eastAsia="Arial Narrow"/>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发行费</w:t>
            </w: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35.00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15.00</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w:t>
            </w:r>
            <w:r>
              <w:rPr>
                <w:sz w:val="10"/>
                <w:szCs w:val="10"/>
                <w:rFonts w:ascii="Arial Narrow" w:hAnsi="Arial Narrow" w:eastAsia="Arial Narrow"/>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归还专项债券本金</w:t>
            </w: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35,000.00</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-.00</w:t>
            </w: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35,000.00</w:t>
            </w: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w:t>
            </w:r>
            <w:r>
              <w:rPr>
                <w:sz w:val="10"/>
                <w:szCs w:val="10"/>
                <w:rFonts w:ascii="Arial Narrow" w:hAnsi="Arial Narrow" w:eastAsia="Arial Narrow"/>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归还专项债券利息</w:t>
            </w: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25,200.00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240.00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1,020.00</w:t>
            </w: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7</w:t>
            </w:r>
            <w:r>
              <w:rPr>
                <w:sz w:val="10"/>
                <w:szCs w:val="10"/>
                <w:rFonts w:ascii="Arial Narrow" w:hAnsi="Arial Narrow" w:eastAsia="Arial Narrow"/>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center"/>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资金占用小计</w:t>
            </w: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114,120.00</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30,000.00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25,420.00</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1,260.00</w:t>
            </w: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36,020.00</w:t>
            </w: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当年资金结余</w:t>
            </w:r>
            <w:r>
              <w:rPr>
                <w:sz w:val="10"/>
                <w:szCs w:val="10"/>
                <w:rFonts w:ascii="宋体" w:hAnsi="宋体" w:eastAsia="宋体" w:hint="eastAsia"/>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宋体" w:hAnsi="宋体" w:eastAsia="宋体" w:hint="eastAsia"/>
              </w:rPr>
            </w:pP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34,857.33</w:t>
            </w: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356.08</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1,907.96</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2,380.22</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3,114.94</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3,408.77</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3,406.61</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3,704.57</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3,702.36</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3,428.22</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3,667.17</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3,665.46</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3,663.73</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3,919.37</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3,917.59</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3,915.80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4,189.44</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4,187.60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4,185.75</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4,478.80</w:t>
            </w: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-30,343.10</w:t>
            </w:r>
            <w:r>
              <w:rPr>
                <w:sz w:val="10"/>
                <w:szCs w:val="10"/>
                <w:rFonts w:ascii="Arial Narrow" w:hAnsi="Arial Narrow" w:eastAsia="Arial Narrow"/>
              </w:rPr>
            </w:r>
          </w:p>
        </w:tc>
      </w:tr>
      <w:tr>
        <w:trPr>
          <w:trHeight w:val="368" w:hRule="atLeast"/>
        </w:trPr>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lang w:eastAsia="zh-CN" w:bidi="ar"/>
                <w:szCs w:val="10"/>
                <w:rFonts w:ascii="宋体" w:hAnsi="宋体" w:eastAsia="宋体" w:hint="eastAsia"/>
              </w:rPr>
            </w:pPr>
            <w:r>
              <w:rPr>
                <w:sz w:val="10"/>
                <w:lang w:eastAsia="zh-CN" w:bidi="ar"/>
                <w:szCs w:val="10"/>
                <w:rFonts w:ascii="宋体" w:hAnsi="宋体" w:eastAsia="宋体" w:hint="eastAsia"/>
              </w:rPr>
              <w:t xml:space="preserve">期末累计资金结余</w:t>
            </w:r>
            <w:r>
              <w:rPr>
                <w:sz w:val="10"/>
                <w:szCs w:val="10"/>
                <w:rFonts w:ascii="宋体" w:hAnsi="宋体" w:eastAsia="宋体" w:hint="eastAsia"/>
              </w:rPr>
            </w:r>
          </w:p>
        </w:tc>
        <w:tc>
          <w:tcPr>
            <w:tcW w:w="101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宋体" w:hAnsi="宋体" w:eastAsia="宋体" w:hint="eastAsia"/>
              </w:rPr>
            </w:pPr>
            <w:r>
              <w:rPr>
                <w:sz w:val="10"/>
                <w:szCs w:val="10"/>
                <w:rFonts w:ascii="宋体" w:hAnsi="宋体" w:eastAsia="宋体" w:hint="eastAsia"/>
              </w:rPr>
            </w:r>
          </w:p>
        </w:tc>
        <w:tc>
          <w:tcPr>
            <w:tcW w:w="717"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rPr>
                <w:sz w:val="10"/>
                <w:szCs w:val="10"/>
                <w:rFonts w:ascii="Arial Narrow" w:hAnsi="Arial Narrow" w:eastAsia="Arial Narrow"/>
              </w:rPr>
            </w:pPr>
            <w:r>
              <w:rPr>
                <w:sz w:val="10"/>
                <w:szCs w:val="10"/>
                <w:rFonts w:ascii="Arial Narrow" w:hAnsi="Arial Narrow" w:eastAsia="Arial Narrow"/>
              </w:rPr>
            </w:r>
          </w:p>
        </w:tc>
        <w:tc>
          <w:tcPr>
            <w:tcW w:w="661" w:type="dxa"/>
            <w:vAlign w:val="center"/>
            <w:shd w:val="clear" w:color="auto" w:fill="FFFFFF"/>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0.00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356.08</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2,264.04</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4,644.26</w:t>
            </w:r>
            <w:r>
              <w:rPr>
                <w:sz w:val="10"/>
                <w:szCs w:val="10"/>
                <w:rFonts w:ascii="Arial Narrow" w:hAnsi="Arial Narrow" w:eastAsia="Arial Narrow"/>
              </w:rPr>
            </w:r>
          </w:p>
        </w:tc>
        <w:tc>
          <w:tcPr>
            <w:tcW w:w="606"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7,759.20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11,167.96</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14,574.57</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18,279.14</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21,981.50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25,409.72</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29,076.90</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32,742.36</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36,406.08</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40,325.45</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44,243.04</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48,158.84</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52,348.28</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56,535.88</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60,721.63</w:t>
            </w:r>
            <w:r>
              <w:rPr>
                <w:sz w:val="10"/>
                <w:szCs w:val="10"/>
                <w:rFonts w:ascii="Arial Narrow" w:hAnsi="Arial Narrow" w:eastAsia="Arial Narrow"/>
              </w:rPr>
            </w:r>
          </w:p>
        </w:tc>
        <w:tc>
          <w:tcPr>
            <w:tcW w:w="661"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65,200.43</w:t>
            </w:r>
            <w:r>
              <w:rPr>
                <w:sz w:val="10"/>
                <w:szCs w:val="10"/>
                <w:rFonts w:ascii="Arial Narrow" w:hAnsi="Arial Narrow" w:eastAsia="Arial Narrow"/>
              </w:rPr>
            </w:r>
          </w:p>
        </w:tc>
        <w:tc>
          <w:tcPr>
            <w:tcW w:w="695" w:type="dxa"/>
            <w:vAlign w:val="center"/>
            <w:tcBorders>
              <w:top w:val="single" w:color="000000" w:sz="4" w:space="0"/>
              <w:left w:val="single" w:color="000000" w:sz="4" w:space="0"/>
              <w:bottom w:val="single" w:color="000000" w:sz="4" w:space="0"/>
              <w:right w:val="single" w:color="000000" w:sz="4" w:space="0"/>
            </w:tcBorders>
            <w:textDirection w:val="lrTb"/>
            <w:noWrap/>
          </w:tcPr>
          <w:p>
            <w:pPr>
              <w:pStyle w:val="Normal"/>
              <w:jc w:val="end"/>
              <w:rPr>
                <w:sz w:val="10"/>
                <w:lang w:eastAsia="zh-CN" w:bidi="ar"/>
                <w:szCs w:val="10"/>
                <w:rFonts w:ascii="Arial Narrow" w:hAnsi="Arial Narrow" w:eastAsia="Arial Narrow"/>
              </w:rPr>
            </w:pPr>
            <w:r>
              <w:rPr>
                <w:sz w:val="10"/>
                <w:lang w:eastAsia="zh-CN" w:bidi="ar"/>
                <w:szCs w:val="10"/>
                <w:rFonts w:ascii="Arial Narrow" w:hAnsi="Arial Narrow" w:eastAsia="Arial Narrow"/>
              </w:rPr>
              <w:t xml:space="preserve">34,857.33</w:t>
            </w:r>
            <w:r>
              <w:rPr>
                <w:sz w:val="10"/>
                <w:szCs w:val="10"/>
                <w:rFonts w:ascii="Arial Narrow" w:hAnsi="Arial Narrow" w:eastAsia="Arial Narrow"/>
              </w:rPr>
            </w:r>
          </w:p>
        </w:tc>
      </w:tr>
    </w:tbl>
    <w:p>
      <w:pPr>
        <w:pStyle w:val="BodyText2"/>
        <w:keepNext w:val="0"/>
        <w:keepLines w:val="0"/>
        <w:pageBreakBefore w:val="0"/>
        <w:wordWrap w:val="1"/>
        <w:overflowPunct w:val="1"/>
        <w:topLinePunct w:val="0"/>
        <w:kinsoku w:val="1"/>
        <w:autoSpaceDE w:val="1"/>
        <w:autoSpaceDN w:val="1"/>
        <w:bidi w:val="0"/>
        <w:spacing w:after="0" w:lineRule="auto"/>
        <w:ind w:left="0" w:leftChars="0"/>
        <w:sectPr>
          <w:type w:val="nextPage"/>
          <w:docGrid w:type="lines" w:linePitch="435"/>
          <w:pgSz w:w="16838" w:h="11906" w:orient="landscape"/>
          <w:pgMar w:top="1644" w:right="2098" w:bottom="1418" w:left="1588" w:header="851" w:footer="992" w:gutter="0"/>
          <w:pgNumType w:fmt="57"/>
        </w:sectPr>
      </w:pP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szCs w:val="32"/>
          <w:rFonts w:ascii="黑体" w:hAnsi="黑体" w:eastAsia="黑体" w:hint="eastAsia"/>
        </w:rPr>
      </w:pPr>
      <w:r>
        <w:rPr>
          <w:sz w:val="32"/>
          <w:szCs w:val="32"/>
          <w:rFonts w:ascii="黑体" w:hAnsi="黑体" w:eastAsia="黑体" w:hint="eastAsia"/>
        </w:rPr>
        <w:t xml:space="preserve">五、项目绩效目标</w:t>
      </w:r>
      <w:r>
        <w:rPr>
          <w:sz w:val="32"/>
          <w:szCs w:val="32"/>
          <w:rFonts w:ascii="黑体" w:hAnsi="黑体" w:eastAsia="黑体" w:hint="eastAsia"/>
        </w:rPr>
      </w:r>
    </w:p>
    <w:p>
      <w:pPr>
        <w:pStyle w:val="Normal"/>
        <w:keepNext w:val="0"/>
        <w:keepLines w:val="0"/>
        <w:pageBreakBefore w:val="0"/>
        <w:wordWrap w:val="1"/>
        <w:overflowPunct w:val="1"/>
        <w:topLinePunct w:val="0"/>
        <w:kinsoku w:val="1"/>
        <w:autoSpaceDE w:val="1"/>
        <w:autoSpaceDN w:val="1"/>
        <w:bidi w:val="0"/>
        <w:snapToGrid w:val="0"/>
        <w:jc w:val="start"/>
        <w:widowControl/>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目标1：新建标准厂房建筑面积为32000平方米</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jc w:val="start"/>
        <w:widowControl/>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目标2：新建多层标准厂房45000平方米</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jc w:val="start"/>
        <w:widowControl/>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目标3：新建停车位约600个及配套道路等基础设施</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jc w:val="start"/>
        <w:widowControl/>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目标4：周围居民满意度</w:t>
      </w:r>
      <w:r>
        <w:rPr>
          <w:sz w:val="32"/>
          <w:lang w:val="en-GB"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szCs w:val="32"/>
          <w:rFonts w:ascii="黑体" w:hAnsi="黑体" w:eastAsia="黑体" w:hint="eastAsia"/>
        </w:rPr>
      </w:pPr>
      <w:r>
        <w:rPr>
          <w:sz w:val="32"/>
          <w:szCs w:val="32"/>
          <w:rFonts w:ascii="黑体" w:hAnsi="黑体" w:eastAsia="黑体" w:hint="eastAsia"/>
        </w:rPr>
        <w:t xml:space="preserve">六、潜在影响项目的风险评估</w:t>
      </w:r>
      <w:r>
        <w:rPr>
          <w:sz w:val="32"/>
          <w:szCs w:val="32"/>
          <w:rFonts w:ascii="仿宋_GB2312" w:hAnsi="仿宋"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outlineLvl w:val="1"/>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1.投资风险</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本项目总体规模大、周期较长，施工条件、人工成本、材料、运输等费用都存在不确定或不可预见因素。因此本项目可能因工程量超过预计值、工程费用上涨导致总投资增加。</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outlineLvl w:val="1"/>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2.融资风险</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本项目所需资金受宏观经济形势的变化、经济政策的调整、融资成本变化等影响，这些因素都有可能影响资金来源的可靠性、充足性和及时性。</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outlineLvl w:val="1"/>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3.工程管理风险</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本项目中施工难度相对较大，有可能造成施工困难等问题。</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outlineLvl w:val="1"/>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4.社会风险</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本项目作为城市基础设施建设类项目，社会关注度程度高，社会敏感性强。若项目成功，则社会效益显著；但是，如果项目建设中出现违规操作或发生安全事故，将造成非常严重的社会影响。</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outlineLvl w:val="1"/>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5.外部协作条件风险</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GB"/>
          <w:szCs w:val="32"/>
          <w:rFonts w:ascii="仿宋_GB2312" w:hAnsi="华文楷体" w:eastAsia="仿宋_GB2312" w:hint="eastAsia"/>
        </w:rPr>
      </w:pPr>
      <w:r>
        <w:rPr>
          <w:sz w:val="32"/>
          <w:lang w:val="en-GB"/>
          <w:szCs w:val="32"/>
          <w:rFonts w:ascii="仿宋_GB2312" w:hAnsi="华文楷体" w:eastAsia="仿宋_GB2312" w:hint="eastAsia"/>
        </w:rPr>
        <w:t xml:space="preserve">本项目涉及层面广泛，包含了政府的计划、财政、规划、国土、城建等部门，以及使用单位、投资方、设计单位、施工单位、监理单位等，牵扯面广，协调工作难度和工作量很大。项目各相关方之间的协调的失误和拖延，都有可能造成项目的延误或损失。</w:t>
      </w:r>
      <w:r>
        <w:rPr>
          <w:sz w:val="32"/>
          <w:lang w:val="en-GB"/>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spacing w:line="560" w:lineRule="exact"/>
        <w:ind w:firstLine="640" w:firstLineChars="200" w:left="0" w:leftChars="0"/>
        <w:rPr>
          <w:sz w:val="32"/>
          <w:szCs w:val="32"/>
          <w:rFonts w:ascii="黑体" w:hAnsi="黑体" w:eastAsia="黑体" w:hint="eastAsia"/>
        </w:rPr>
      </w:pPr>
      <w:r>
        <w:rPr>
          <w:sz w:val="32"/>
          <w:szCs w:val="32"/>
          <w:rFonts w:ascii="黑体" w:hAnsi="黑体" w:eastAsia="黑体" w:hint="eastAsia"/>
        </w:rPr>
        <w:t xml:space="preserve">七、还款保障情况</w:t>
      </w:r>
      <w:r>
        <w:rPr>
          <w:sz w:val="32"/>
          <w:szCs w:val="32"/>
          <w:rFonts w:ascii="仿宋_GB2312" w:eastAsia="仿宋_GB2312" w:hint="eastAsia"/>
        </w:rPr>
      </w:r>
    </w:p>
    <w:p>
      <w:pPr>
        <w:pStyle w:val="Normal"/>
        <w:keepNext w:val="0"/>
        <w:keepLines w:val="0"/>
        <w:pageBreakBefore w:val="0"/>
        <w:wordWrap w:val="1"/>
        <w:overflowPunct w:val="1"/>
        <w:topLinePunct w:val="0"/>
        <w:kinsoku w:val="1"/>
        <w:autoSpaceDE w:val="1"/>
        <w:autoSpaceDN w:val="1"/>
        <w:bidi w:val="0"/>
        <w:spacing w:line="560" w:lineRule="exact"/>
        <w:ind w:firstLine="640" w:firstLineChars="200" w:left="0" w:leftChars="0"/>
        <w:rPr>
          <w:sz w:val="32"/>
          <w:szCs w:val="32"/>
          <w:rFonts w:ascii="仿宋_GB2312" w:eastAsia="仿宋_GB2312" w:hint="eastAsia"/>
        </w:rPr>
      </w:pPr>
      <w:r>
        <w:rPr>
          <w:sz w:val="32"/>
          <w:szCs w:val="32"/>
          <w:rFonts w:ascii="仿宋_GB2312" w:eastAsia="仿宋_GB2312" w:hint="eastAsia"/>
        </w:rPr>
        <w:t xml:space="preserve">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r>
        <w:rPr>
          <w:sz w:val="32"/>
          <w:lang w:val="en-GB"/>
          <w:szCs w:val="32"/>
          <w:rFonts w:ascii="仿宋_GB2312" w:hAnsi="仿宋" w:eastAsia="仿宋_GB2312" w:hint="eastAsia"/>
        </w:rPr>
      </w:r>
    </w:p>
    <w:p>
      <w:pPr>
        <w:pStyle w:val="Normal"/>
        <w:keepNext w:val="0"/>
        <w:keepLines w:val="0"/>
        <w:pageBreakBefore w:val="0"/>
        <w:wordWrap w:val="1"/>
        <w:overflowPunct w:val="1"/>
        <w:topLinePunct w:val="0"/>
        <w:kinsoku w:val="1"/>
        <w:autoSpaceDE w:val="1"/>
        <w:autoSpaceDN w:val="1"/>
        <w:bidi w:val="0"/>
        <w:outlineLvl w:val="0"/>
        <w:numPr>
          <w:ilvl w:val="0"/>
          <w:numId w:val="4"/>
        </w:numPr>
        <w:spacing w:line="560" w:lineRule="exact"/>
        <w:ind w:firstLine="640" w:firstLineChars="200" w:left="0" w:leftChars="0"/>
        <w:rPr>
          <w:sz w:val="32"/>
          <w:szCs w:val="32"/>
          <w:rFonts w:ascii="黑体" w:hAnsi="黑体" w:eastAsia="黑体" w:hint="eastAsia"/>
        </w:rPr>
      </w:pPr>
      <w:r>
        <w:rPr>
          <w:sz w:val="32"/>
          <w:szCs w:val="32"/>
          <w:rFonts w:ascii="黑体" w:hAnsi="黑体" w:eastAsia="黑体" w:hint="eastAsia"/>
        </w:rPr>
        <w:t xml:space="preserve">主管部门和项目单位职责</w:t>
      </w:r>
      <w:r>
        <w:rPr>
          <w:sz w:val="32"/>
          <w:szCs w:val="32"/>
          <w:rFonts w:ascii="黑体" w:hAnsi="黑体" w:eastAsia="黑体"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该项目涉及多个职能部门，为统一组织，保障协调各项工作的顺利开展，责任部门进行明确分工。具体分工如下：</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1.主管部门：四川绵阳安州高新技术产业园区管理委员会</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主要职责包括：向区政府总结项目实施情况，贯彻落实上级指示要求；研究解决项目实施中的其他重大问题。</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2.项目资金实施机构：绵阳市安州区财政局</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主要职责包括：配合落实项目申请专项债券资金；监督专项债券资金的实际使用情况及对本期债券本息的按期偿付情况。</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3.项目业主单位：绵阳华欣建设有限责任公司</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snapToGrid w:val="0"/>
        <w:widowControl/>
        <w:spacing w:line="560" w:lineRule="exact"/>
        <w:ind w:firstLine="640" w:firstLineChars="200" w:left="0" w:leftChars="0"/>
        <w:rPr>
          <w:sz w:val="32"/>
          <w:lang w:val="en-US" w:eastAsia="zh-CN"/>
          <w:szCs w:val="32"/>
          <w:rFonts w:ascii="仿宋_GB2312" w:hAnsi="华文楷体" w:eastAsia="仿宋_GB2312" w:hint="eastAsia"/>
        </w:rPr>
      </w:pPr>
      <w:r>
        <w:rPr>
          <w:sz w:val="32"/>
          <w:lang w:val="en-US" w:eastAsia="zh-CN"/>
          <w:szCs w:val="32"/>
          <w:rFonts w:ascii="仿宋_GB2312" w:hAnsi="华文楷体" w:eastAsia="仿宋_GB2312" w:hint="eastAsia"/>
        </w:rPr>
        <w:t xml:space="preserve">主要职责包括：严格落实资金管理和使用计划，根据项目实施计划开展工程建设等相关工作；保证项目资金的使用与项目实施进度相匹配；定期向行业实施机构、实施机构及项目资金实施机构汇报项目实施进度及项目资金使用情况。</w:t>
      </w:r>
      <w:r>
        <w:rPr>
          <w:sz w:val="32"/>
          <w:lang w:val="en-US" w:eastAsia="zh-CN"/>
          <w:szCs w:val="32"/>
          <w:rFonts w:ascii="仿宋_GB2312" w:hAnsi="华文楷体" w:eastAsia="仿宋_GB2312" w:hint="eastAsia"/>
        </w:rPr>
      </w:r>
    </w:p>
    <w:p>
      <w:pPr>
        <w:pStyle w:val="Normal"/>
        <w:keepNext w:val="0"/>
        <w:keepLines w:val="0"/>
        <w:pageBreakBefore w:val="0"/>
        <w:wordWrap w:val="1"/>
        <w:overflowPunct w:val="1"/>
        <w:topLinePunct w:val="0"/>
        <w:kinsoku w:val="1"/>
        <w:autoSpaceDE w:val="1"/>
        <w:autoSpaceDN w:val="1"/>
        <w:bidi w:val="0"/>
        <w:outlineLvl w:val="0"/>
        <w:numPr>
          <w:ilvl w:val="0"/>
          <w:numId w:val="5"/>
        </w:numPr>
        <w:spacing w:line="560" w:lineRule="exact"/>
        <w:ind w:firstLine="640" w:firstLineChars="200" w:left="0" w:leftChars="0"/>
        <w:rPr>
          <w:sz w:val="32"/>
          <w:szCs w:val="32"/>
          <w:rFonts w:ascii="黑体" w:hAnsi="黑体" w:eastAsia="黑体" w:hint="eastAsia"/>
        </w:rPr>
      </w:pPr>
      <w:r>
        <w:rPr>
          <w:sz w:val="32"/>
          <w:szCs w:val="32"/>
          <w:rFonts w:ascii="黑体" w:hAnsi="黑体" w:eastAsia="黑体" w:hint="eastAsia"/>
        </w:rPr>
        <w:t xml:space="preserve">补充说明</w:t>
      </w:r>
      <w:r>
        <w:rPr>
          <w:sz w:val="32"/>
          <w:szCs w:val="32"/>
          <w:rFonts w:ascii="黑体" w:hAnsi="黑体" w:eastAsia="黑体" w:hint="eastAsia"/>
        </w:rPr>
      </w:r>
    </w:p>
    <w:p>
      <w:pPr>
        <w:pStyle w:val="Normal"/>
        <w:keepNext w:val="0"/>
        <w:keepLines w:val="0"/>
        <w:pageBreakBefore w:val="0"/>
        <w:wordWrap w:val="1"/>
        <w:overflowPunct w:val="1"/>
        <w:topLinePunct w:val="0"/>
        <w:kinsoku w:val="1"/>
        <w:autoSpaceDE w:val="1"/>
        <w:autoSpaceDN w:val="1"/>
        <w:bidi w:val="0"/>
        <w:spacing w:line="560" w:lineRule="exact"/>
        <w:ind w:firstLine="632" w:firstLineChars="200" w:left="0" w:leftChars="0"/>
        <w:rPr>
          <w:w w:val="99"/>
          <w:sz w:val="32"/>
          <w:szCs w:val="32"/>
          <w:rFonts w:ascii="仿宋_GB2312" w:hAnsi="仿宋_GB2312" w:eastAsia="仿宋_GB2312" w:hint="eastAsia"/>
        </w:rPr>
      </w:pPr>
      <w:r>
        <w:rPr>
          <w:w w:val="99"/>
          <w:sz w:val="32"/>
          <w:szCs w:val="32"/>
          <w:rFonts w:ascii="仿宋_GB2312" w:hAnsi="仿宋_GB2312" w:eastAsia="仿宋_GB2312" w:hint="eastAsia"/>
        </w:rPr>
        <w:t xml:space="preserve">根据专项债券项目调整计划及额度安排,拟调整安排此项目</w:t>
      </w:r>
      <w:r>
        <w:rPr>
          <w:w w:val="99"/>
          <w:sz w:val="32"/>
          <w:lang w:val="en-US" w:eastAsia="zh-CN"/>
          <w:szCs w:val="32"/>
          <w:rFonts w:ascii="仿宋_GB2312" w:hAnsi="仿宋_GB2312" w:eastAsia="仿宋_GB2312" w:hint="eastAsia"/>
        </w:rPr>
        <w:t xml:space="preserve">3000.00</w:t>
      </w:r>
      <w:r>
        <w:rPr>
          <w:w w:val="99"/>
          <w:sz w:val="32"/>
          <w:szCs w:val="32"/>
          <w:rFonts w:ascii="仿宋_GB2312" w:hAnsi="仿宋_GB2312" w:eastAsia="仿宋_GB2312" w:hint="eastAsia"/>
        </w:rPr>
        <w:t xml:space="preserve">万元</w:t>
      </w:r>
      <w:r>
        <w:rPr>
          <w:w w:val="99"/>
          <w:sz w:val="32"/>
          <w:lang w:eastAsia="zh-CN"/>
          <w:szCs w:val="32"/>
          <w:rFonts w:ascii="仿宋_GB2312" w:hAnsi="仿宋_GB2312" w:eastAsia="仿宋_GB2312" w:hint="eastAsia"/>
        </w:rPr>
        <w:t xml:space="preserve">，</w:t>
      </w:r>
      <w:r>
        <w:rPr>
          <w:w w:val="99"/>
          <w:sz w:val="32"/>
          <w:lang w:val="en-US" w:eastAsia="zh-CN"/>
          <w:szCs w:val="32"/>
          <w:rFonts w:ascii="仿宋_GB2312" w:hAnsi="仿宋_GB2312" w:eastAsia="仿宋_GB2312" w:hint="eastAsia"/>
        </w:rPr>
        <w:t xml:space="preserve">期限20年</w:t>
      </w:r>
      <w:r>
        <w:rPr>
          <w:w w:val="99"/>
          <w:sz w:val="32"/>
          <w:szCs w:val="32"/>
          <w:rFonts w:ascii="仿宋_GB2312" w:hAnsi="仿宋_GB2312" w:eastAsia="仿宋_GB2312" w:hint="eastAsia"/>
        </w:rPr>
        <w:t xml:space="preserve">。该项目实施内容及收益来源未发生变动，在不超过项目债券总需求情况下，债券跨年发行对项目整体融资平衡不构成实质影响。</w:t>
      </w:r>
    </w:p>
    <w:sectPr>
      <w:type w:val="nextPage"/>
      <w:docGrid w:type="lines" w:linePitch="435"/>
      <w:pgSz w:w="11906" w:h="16838"/>
      <w:pgMar w:top="2098" w:right="1418" w:bottom="1588" w:left="1644" w:header="851" w:footer="992" w:gutter="0"/>
      <w:pgNumType w:fmt="57"/>
    </w:sectPr>
  </w:body>
</w:document>
</file>

<file path=word/fontTable.xml><?xml version="1.0" encoding="utf-8"?>
<!--Fri Aug  7 16:32:19 2026
-->
<w:font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Times New Roman">
    <w:panose1 w:val="02020603050405020304"/>
    <w:charset w:val="86"/>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imes New Roman">
    <w:panose1 w:val="02020603050405020304"/>
    <w:charset w:val="cc"/>
    <w:family w:val="roman"/>
    <w:pitch w:val="default"/>
    <w:sig w:usb0="E0002EFF" w:usb1="C000785B" w:usb2="00000009" w:usb3="00000000" w:csb0="400001FF" w:csb1="FFFF0000"/>
  </w:font>
  <w:font w:name="Arial Narrow">
    <w:panose1 w:val="020b0606020202030204"/>
    <w:charset w:val="00"/>
    <w:family w:val="auto"/>
    <w:pitch w:val="default"/>
    <w:sig w:usb0="00000287" w:usb1="00000800" w:usb2="00000000" w:usb3="00000000" w:csb0="2000009F" w:csb1="DFD70000"/>
  </w:font>
</w:fonts>
</file>

<file path=word/footer1.xml><?xml version="1.0" encoding="utf-8"?>
<!--Fri Aug  7 16:32:19 2026
-->
<w:ftr xmlns:o="urn:schemas-microsoft-com:office:office" xmlns:v="urn:schemas-microsoft-com:vml" xmlns:w="http://schemas.openxmlformats.org/wordprocessingml/2006/main" xmlns:w10="urn:schemas-microsoft-com:office:word" xmlns:r="http://schemas.openxmlformats.org/officeDocument/2006/relationships">
  <w:p>
    <w:pPr>
      <w:pStyle w:val="Footer"/>
      <w:tabs>
        <w:tab w:val="clear" w:pos="4153"/>
        <w:tab w:val="clear" w:pos="8306"/>
      </w:tabs>
      <w:rPr>
        <w:sz w:val="28"/>
        <w:szCs w:val="28"/>
        <w:rFonts w:ascii="宋体" w:hAnsi="宋体"/>
      </w:rPr>
    </w:pPr>
    <w:r>
      <w:rPr>
        <w:sz w:val="28"/>
        <w:szCs w:val="28"/>
        <w:rFonts w:ascii="宋体" w:hAnsi="宋体"/>
      </w:rPr>
      <w:fldChar w:fldCharType="begin"/>
    </w:r>
    <w:r>
      <w:rPr>
        <w:sz w:val="28"/>
        <w:szCs w:val="28"/>
        <w:rFonts w:ascii="宋体" w:hAnsi="宋体"/>
      </w:rPr>
      <w:instrText xml:space="preserve"> PAGE   \* MERGEFORMAT </w:instrText>
    </w:r>
    <w:r>
      <w:rPr>
        <w:sz w:val="28"/>
        <w:szCs w:val="28"/>
        <w:rFonts w:ascii="宋体" w:hAnsi="宋体"/>
      </w:rPr>
      <w:fldChar w:fldCharType="separate"/>
    </w:r>
    <w:r>
      <w:rPr>
        <w:rFonts w:ascii="Calibri"/>
      </w:rPr>
      <w:t xml:space="preserve">-4-</w:t>
    </w:r>
    <w:r>
      <w:rPr>
        <w:sz w:val="28"/>
        <w:szCs w:val="28"/>
        <w:rFonts w:ascii="宋体" w:hAnsi="宋体"/>
      </w:rPr>
      <w:fldChar w:fldCharType="end"/>
    </w:r>
    <w:r>
      <w:rPr>
        <w:sz w:val="28"/>
        <w:szCs w:val="28"/>
        <w:rFonts w:ascii="宋体" w:hAnsi="宋体"/>
      </w:rPr>
    </w:r>
  </w:p>
</w:ftr>
</file>

<file path=word/footer2.xml><?xml version="1.0" encoding="utf-8"?>
<!--Fri Aug  7 16:32:19 2026
-->
<w:ftr xmlns:o="urn:schemas-microsoft-com:office:office" xmlns:v="urn:schemas-microsoft-com:vml" xmlns:w="http://schemas.openxmlformats.org/wordprocessingml/2006/main" xmlns:w10="urn:schemas-microsoft-com:office:word" xmlns:r="http://schemas.openxmlformats.org/officeDocument/2006/relationships">
  <w:p>
    <w:pPr>
      <w:pStyle w:val="Footer"/>
      <w:jc w:val="end"/>
      <w:tabs>
        <w:tab w:val="clear" w:pos="4153"/>
        <w:tab w:val="clear" w:pos="8306"/>
      </w:tabs>
      <w:rPr>
        <w:sz w:val="28"/>
        <w:szCs w:val="28"/>
        <w:rFonts w:ascii="宋体" w:hAnsi="宋体"/>
      </w:rPr>
    </w:pPr>
    <w:r>
      <w:rPr>
        <w:sz w:val="28"/>
        <w:szCs w:val="28"/>
        <w:rFonts w:ascii="宋体" w:hAnsi="宋体"/>
      </w:rPr>
      <w:fldChar w:fldCharType="begin"/>
    </w:r>
    <w:r>
      <w:rPr>
        <w:sz w:val="28"/>
        <w:szCs w:val="28"/>
        <w:rFonts w:ascii="宋体" w:hAnsi="宋体"/>
      </w:rPr>
      <w:instrText xml:space="preserve"> PAGE   \* MERGEFORMAT </w:instrText>
    </w:r>
    <w:r>
      <w:rPr>
        <w:sz w:val="28"/>
        <w:szCs w:val="28"/>
        <w:rFonts w:ascii="宋体" w:hAnsi="宋体"/>
      </w:rPr>
      <w:fldChar w:fldCharType="separate"/>
    </w:r>
    <w:r>
      <w:rPr>
        <w:rFonts w:ascii="Calibri"/>
      </w:rPr>
      <w:t xml:space="preserve">- 3 -</w:t>
    </w:r>
    <w:r>
      <w:rPr>
        <w:sz w:val="28"/>
        <w:szCs w:val="28"/>
        <w:rFonts w:ascii="宋体" w:hAnsi="宋体"/>
      </w:rPr>
      <w:fldChar w:fldCharType="end"/>
    </w:r>
    <w:r>
      <w:rPr>
        <w:sz w:val="28"/>
        <w:szCs w:val="28"/>
        <w:rFonts w:ascii="宋体" w:hAnsi="宋体"/>
      </w:rPr>
    </w:r>
  </w:p>
</w:ftr>
</file>

<file path=word/header1.xml><?xml version="1.0" encoding="utf-8"?>
<!--Fri Aug  7 16:32:19 2026
-->
<w:hdr xmlns:o="urn:schemas-microsoft-com:office:office" xmlns:v="urn:schemas-microsoft-com:vml" xmlns:w="http://schemas.openxmlformats.org/wordprocessingml/2006/main" xmlns:w10="urn:schemas-microsoft-com:office:word" xmlns:r="http://schemas.openxmlformats.org/officeDocument/2006/relationships">
  <w:p>
    <w:pPr>
      <w:pStyle w:val="Header"/>
      <w:tabs>
        <w:tab w:val="clear" w:pos="4153"/>
        <w:tab w:val="clear" w:pos="8306"/>
      </w:tabs>
      <w:ind w:firstLine="360"/>
    </w:pPr>
    <w:r/>
  </w:p>
</w:hdr>
</file>

<file path=word/header2.xml><?xml version="1.0" encoding="utf-8"?>
<!--Fri Aug  7 16:32:19 2026
-->
<w:hdr xmlns:o="urn:schemas-microsoft-com:office:office" xmlns:v="urn:schemas-microsoft-com:vml" xmlns:w="http://schemas.openxmlformats.org/wordprocessingml/2006/main" xmlns:w10="urn:schemas-microsoft-com:office:word" xmlns:r="http://schemas.openxmlformats.org/officeDocument/2006/relationships">
  <w:p>
    <w:pPr>
      <w:pStyle w:val="Header"/>
      <w:tabs>
        <w:tab w:val="clear" w:pos="4153"/>
        <w:tab w:val="clear" w:pos="8306"/>
      </w:tabs>
      <w:ind w:firstLine="360"/>
    </w:pPr>
    <w:r/>
  </w:p>
</w:hdr>
</file>

<file path=word/header3.xml><?xml version="1.0" encoding="utf-8"?>
<!--Fri Aug  7 16:32:19 2026
-->
<w:hdr xmlns:o="urn:schemas-microsoft-com:office:office" xmlns:v="urn:schemas-microsoft-com:vml" xmlns:w="http://schemas.openxmlformats.org/wordprocessingml/2006/main" xmlns:w10="urn:schemas-microsoft-com:office:word" xmlns:r="http://schemas.openxmlformats.org/officeDocument/2006/relationships">
  <w:p>
    <w:pPr>
      <w:pStyle w:val="Header"/>
      <w:tabs>
        <w:tab w:val="clear" w:pos="4153"/>
        <w:tab w:val="clear" w:pos="8306"/>
      </w:tabs>
      <w:ind w:firstLine="360"/>
    </w:pPr>
    <w:r/>
  </w:p>
</w:hdr>
</file>

<file path=word/numbering.xml><?xml version="1.0" encoding="utf-8"?>
<!--Fri Aug  7 16:32:19 2026
-->
<w:numbering xmlns:wps="http://schemas.microsoft.com/office/word/2010/wordprocessingShape" xmlns:wpc="http://schemas.microsoft.com/office/word/2010/wordprocessingCanvas" xmlns:wne="http://schemas.microsoft.com/office/word/2006/wordml" xmlns:mc="http://schemas.openxmlformats.org/markup-compatibility/2006" xmlns:w14="http://schemas.microsoft.com/office/word/2010/wordml" xmlns:r="http://schemas.openxmlformats.org/officeDocument/2006/relationships" xmlns:v="urn:schemas-microsoft-com:vml" xmlns:wp14="http://schemas.microsoft.com/office/word/2010/wordprocessingDrawing" xmlns:wpg="http://schemas.microsoft.com/office/word/2010/wordprocessingGroup" xmlns:wp="http://schemas.openxmlformats.org/drawingml/2006/wordprocessingDrawing" xmlns:o="urn:schemas-microsoft-com:office:office" xmlns:w="http://schemas.openxmlformats.org/wordprocessingml/2006/main" xmlns:m="http://schemas.openxmlformats.org/officeDocument/2006/math" xmlns:w10="urn:schemas-microsoft-com:office:word" xmlns:wpi="http://schemas.microsoft.com/office/word/2010/wordprocessingInk" xmlns:a="http://schemas.openxmlformats.org/drawingml/2006/main" mc:Ignorable="w14 wp14">
  <w:abstractNum w:abstractNumId="0">
    <w:nsid w:val="B60A67D3"/>
    <w:multiLevelType w:val="singleLevel"/>
    <w:tmpl w:val="B60A67D3"/>
    <w:lvl w:ilvl="0">
      <w:start w:val="1"/>
      <w:numFmt w:val="decimal"/>
      <w:suff w:val="nothing"/>
      <w:lvlText w:val="%1．"/>
      <w:lvlJc w:val="left"/>
      <w:pPr>
        <w:pStyle w:val="Normal"/>
      </w:pPr>
      <w:rPr/>
    </w:lvl>
  </w:abstractNum>
  <w:abstractNum w:abstractNumId="1">
    <w:nsid w:val="0000000A"/>
    <w:multiLevelType w:val="singleLevel"/>
    <w:tmpl w:val="0000000A"/>
    <w:lvl w:ilvl="0">
      <w:start w:val="9"/>
      <w:numFmt w:val="chineseCounting"/>
      <w:suff w:val="nothing"/>
      <w:lvlText w:val="%1、"/>
      <w:lvlJc w:val="left"/>
      <w:pPr>
        <w:pStyle w:val="Normal"/>
      </w:pPr>
      <w:rPr/>
    </w:lvl>
  </w:abstractNum>
  <w:abstractNum w:abstractNumId="2">
    <w:nsid w:val="0E349138"/>
    <w:multiLevelType w:val="singleLevel"/>
    <w:tmpl w:val="0E349138"/>
    <w:lvl w:ilvl="0">
      <w:start w:val="8"/>
      <w:numFmt w:val="chineseCounting"/>
      <w:suff w:val="nothing"/>
      <w:lvlText w:val="%1、"/>
      <w:lvlJc w:val="left"/>
      <w:pPr>
        <w:pStyle w:val="Normal"/>
      </w:pPr>
      <w:rPr>
        <w:rFonts w:hint="eastAsia"/>
      </w:rPr>
    </w:lvl>
  </w:abstractNum>
  <w:abstractNum w:abstractNumId="3">
    <w:nsid w:val="2F3969AB"/>
    <w:multiLevelType w:val="multilevel"/>
    <w:tmpl w:val="2F3969AB"/>
    <w:lvl w:ilvl="0">
      <w:start w:val="1"/>
      <w:numFmt w:val="decimal"/>
      <w:suff w:val="tab"/>
      <w:lvlText w:val="第%1章"/>
      <w:lvlJc w:val="left"/>
      <w:pPr>
        <w:pStyle w:val="Normal"/>
        <w:ind w:hanging="425" w:left="425"/>
      </w:pPr>
      <w:rPr/>
    </w:lvl>
    <w:lvl w:ilvl="1">
      <w:start w:val="1"/>
      <w:numFmt w:val="decimal"/>
      <w:suff w:val="tab"/>
      <w:lvlText w:val="%1.%2"/>
      <w:lvlJc w:val="left"/>
      <w:pPr>
        <w:pStyle w:val="Normal"/>
        <w:ind w:hanging="567" w:left="992"/>
      </w:pPr>
      <w:rPr/>
    </w:lvl>
    <w:lvl w:ilvl="2">
      <w:start w:val="1"/>
      <w:numFmt w:val="decimal"/>
      <w:suff w:val="tab"/>
      <w:lvlText w:val="%1.%2.%3"/>
      <w:lvlJc w:val="left"/>
      <w:pPr>
        <w:pStyle w:val="Normal"/>
        <w:ind w:hanging="567" w:left="2126"/>
      </w:pPr>
      <w:rPr/>
    </w:lvl>
    <w:lvl w:ilvl="3">
      <w:start w:val="1"/>
      <w:numFmt w:val="decimal"/>
      <w:suff w:val="tab"/>
      <w:lvlText w:val="%1.%2.%3.%4"/>
      <w:lvlJc w:val="left"/>
      <w:pPr>
        <w:pStyle w:val="Normal"/>
        <w:ind w:hanging="708" w:left="1984"/>
      </w:pPr>
      <w:rPr/>
    </w:lvl>
    <w:lvl w:ilvl="4">
      <w:start w:val="1"/>
      <w:numFmt w:val="decimal"/>
      <w:suff w:val="tab"/>
      <w:lvlText w:val="%1.%2.%3.%4.%5"/>
      <w:lvlJc w:val="left"/>
      <w:pPr>
        <w:pStyle w:val="Normal"/>
        <w:ind w:hanging="850" w:left="2551"/>
      </w:pPr>
      <w:rPr/>
    </w:lvl>
    <w:lvl w:ilvl="5">
      <w:start w:val="1"/>
      <w:numFmt w:val="decimal"/>
      <w:suff w:val="tab"/>
      <w:lvlText w:val="%1.%2.%3.%4.%5.%6"/>
      <w:lvlJc w:val="left"/>
      <w:pPr>
        <w:pStyle w:val="Normal"/>
        <w:ind w:hanging="1134" w:left="3260"/>
      </w:pPr>
      <w:rPr/>
    </w:lvl>
    <w:lvl w:ilvl="6">
      <w:start w:val="1"/>
      <w:numFmt w:val="decimal"/>
      <w:suff w:val="tab"/>
      <w:lvlText w:val="%1.%2.%3.%4.%5.%6.%7"/>
      <w:lvlJc w:val="left"/>
      <w:pPr>
        <w:pStyle w:val="Normal"/>
        <w:ind w:hanging="1276" w:left="3827"/>
      </w:pPr>
      <w:rPr/>
    </w:lvl>
    <w:lvl w:ilvl="7">
      <w:start w:val="1"/>
      <w:numFmt w:val="decimal"/>
      <w:suff w:val="tab"/>
      <w:lvlText w:val="%1.%2.%3.%4.%5.%6.%7.%8"/>
      <w:lvlJc w:val="left"/>
      <w:pPr>
        <w:pStyle w:val="Normal"/>
        <w:ind w:hanging="1418" w:left="4394"/>
      </w:pPr>
      <w:rPr/>
    </w:lvl>
    <w:lvl w:ilvl="8">
      <w:start w:val="1"/>
      <w:numFmt w:val="decimal"/>
      <w:suff w:val="tab"/>
      <w:lvlText w:val="%1.%2.%3.%4.%5.%6.%7.%8.%9"/>
      <w:lvlJc w:val="left"/>
      <w:pPr>
        <w:pStyle w:val="Normal"/>
        <w:ind w:hanging="1700" w:left="5102"/>
      </w:pPr>
      <w:rPr/>
    </w:lvl>
  </w:abstractNum>
  <w:abstractNum w:abstractNumId="4">
    <w:nsid w:val="7F1161DD"/>
    <w:multiLevelType w:val="singleLevel"/>
    <w:tmpl w:val="7F1161DD"/>
    <w:lvl w:ilvl="0">
      <w:start w:val="2"/>
      <w:numFmt w:val="chineseCounting"/>
      <w:suff w:val="nothing"/>
      <w:lvlText w:val="（%1）"/>
      <w:lvlJc w:val="left"/>
      <w:pPr>
        <w:pStyle w:val="Normal"/>
      </w:pPr>
      <w:rPr>
        <w:rFonts w:hint="eastAsia"/>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Fri Aug  7 16:32:19 2026
-->
<w:settings xmlns:w="http://schemas.openxmlformats.org/wordprocessingml/2006/main">
  <w:defaultTabStop w:val="420"/>
  <w:displayHorizontalDrawingGridEvery w:val="1"/>
  <w:displayVerticalDrawingGridEvery w:val="1"/>
  <w:zoom w:percent="100"/>
  <w:compat>
    <w:balanceSingleByteDoubleByteWidth/>
    <w:doNotLeaveBackslashAlone/>
    <w:ulTrailSpace/>
    <w:doNotExpandShiftReturn/>
    <w:adjustLineHeightInTable/>
    <w:compatSetting w:val="11" w:uri="http://schemas.microsoft.com/office/word" w:name="compatibilityMode"/>
  </w:compat>
  <w:rsids/>
  <w:clrSchemeMapping tx1="dk1" tx2="dk2" bg1="lt1" bg2="lt2"/>
  <w:decimalSymbol/>
  <w:listSeparator/>
</w:settings>
</file>

<file path=word/styles.xml><?xml version="1.0" encoding="utf-8"?>
<!--Fri Aug  7 16:32:19 2026
-->
<w:styles xmlns:w="http://schemas.openxmlformats.org/wordprocessingml/2006/main">
  <w:docDefaults>
    <w:rPrDefault>
      <w:rPr>
        <w:lang w:val="en-US"/>
        <w:rFonts w:ascii="Times New Roman" w:hAnsi="Times New Roman" w:eastAsia="宋体" w:cs="Times New Roman"/>
      </w:rPr>
    </w:rPrDefault>
    <w:pPrDefault/>
  </w:docDefaults>
  <w:style w:type="paragraph" w:styleId="Normal">
    <w:name w:val="Normal"/>
    <w:link w:val="Normal"/>
    <w:pPr>
      <w:jc w:val="both"/>
      <w:widowControl w:val="off"/>
    </w:pPr>
    <w:rPr>
      <w:sz w:val="21"/>
      <w:lang w:val="en-US" w:eastAsia="zh-CN" w:bidi="ar-SA"/>
      <w:szCs w:val="22"/>
      <w:kern w:val="2"/>
      <w:rFonts w:ascii="Calibri" w:eastAsia="宋体"/>
    </w:rPr>
  </w:style>
  <w:style w:type="paragraph" w:styleId="Heading3">
    <w:name w:val="标题 3"/>
    <w:basedOn w:val="BodyText"/>
    <w:link w:val="Normal"/>
    <w:pPr>
      <w:outlineLvl w:val="2"/>
      <w:numPr>
        <w:ilvl w:val="2"/>
        <w:numId w:val="1"/>
      </w:numPr>
    </w:pPr>
  </w:style>
  <w:style w:type="character" w:styleId="NormalCharacter">
    <w:name w:val="默认段落字体"/>
    <w:link w:val="Normal"/>
  </w:style>
  <w:style w:type="table" w:styleId="TableNormal">
    <w:name w:val="普通表格"/>
    <w:link w:val="Normal"/>
  </w:style>
  <w:style w:type="paragraph" w:styleId="BodyText">
    <w:name w:val="正文文本"/>
    <w:basedOn w:val="Normal"/>
    <w:link w:val="UserStyle_0"/>
    <w:pPr>
      <w:jc w:val="start"/>
      <w:widowControl/>
      <w:spacing w:after="120" w:lineRule="auto"/>
    </w:pPr>
    <w:rPr>
      <w:szCs w:val="24"/>
      <w:rFonts w:ascii="Times New Roman" w:hAnsi="Times New Roman"/>
    </w:rPr>
  </w:style>
  <w:style w:type="character" w:styleId="UserStyle_0">
    <w:name w:val="正文文本 Char"/>
    <w:link w:val="BodyText"/>
    <w:rPr>
      <w:sz w:val="21"/>
      <w:szCs w:val="24"/>
      <w:kern w:val="2"/>
      <w:rFonts w:ascii="Times New Roman" w:hAnsi="Times New Roman" w:eastAsia="宋体"/>
    </w:rPr>
  </w:style>
  <w:style w:type="paragraph" w:styleId="BodyTextIndent">
    <w:name w:val="正文文本缩进"/>
    <w:basedOn w:val="Normal"/>
    <w:link w:val="Normal"/>
    <w:pPr>
      <w:spacing w:after="120" w:lineRule="auto"/>
      <w:ind w:left="420" w:leftChars="200"/>
    </w:pPr>
  </w:style>
  <w:style w:type="paragraph" w:styleId="PlainText">
    <w:name w:val="纯文本"/>
    <w:basedOn w:val="Normal"/>
    <w:link w:val="UserStyle_1"/>
    <w:rPr>
      <w:szCs w:val="21"/>
      <w:rFonts w:ascii="宋体" w:hAnsi="Courier New" w:eastAsia="仿宋_GB2312"/>
    </w:rPr>
  </w:style>
  <w:style w:type="character" w:styleId="UserStyle_1">
    <w:name w:val="纯文本 Char"/>
    <w:link w:val="PlainText"/>
    <w:rPr>
      <w:sz w:val="21"/>
      <w:szCs w:val="21"/>
      <w:kern w:val="2"/>
      <w:rFonts w:ascii="宋体" w:hAnsi="Courier New"/>
    </w:rPr>
  </w:style>
  <w:style w:type="paragraph" w:styleId="BodyTextIndent2">
    <w:name w:val="正文文本缩进 2"/>
    <w:basedOn w:val="Normal"/>
    <w:link w:val="Normal"/>
    <w:pPr>
      <w:autoSpaceDE w:val="0"/>
      <w:autoSpaceDN w:val="0"/>
      <w:jc w:val="center"/>
      <w:spacing w:line="360" w:lineRule="auto"/>
    </w:pPr>
    <w:rPr>
      <w:sz w:val="22"/>
      <w:lang w:val="zh-CN" w:bidi="zh-CN"/>
      <w:rFonts w:eastAsia="仿宋_GB2312"/>
    </w:rPr>
  </w:style>
  <w:style w:type="paragraph" w:styleId="Footer">
    <w:name w:val="页脚"/>
    <w:basedOn w:val="Normal"/>
    <w:link w:val="UserStyle_2"/>
    <w:pPr>
      <w:snapToGrid w:val="0"/>
      <w:jc w:val="start"/>
      <w:tabs>
        <w:tab w:val="center" w:pos="4153"/>
        <w:tab w:val="right" w:pos="8306"/>
      </w:tabs>
    </w:pPr>
    <w:rPr>
      <w:sz w:val="18"/>
      <w:szCs w:val="18"/>
      <w:rFonts w:ascii="仿宋_GB2312" w:eastAsia="仿宋_GB2312"/>
    </w:rPr>
  </w:style>
  <w:style w:type="character" w:styleId="UserStyle_2">
    <w:name w:val="页脚 Char"/>
    <w:link w:val="Footer"/>
    <w:rPr>
      <w:sz w:val="18"/>
      <w:szCs w:val="18"/>
      <w:kern w:val="2"/>
    </w:rPr>
  </w:style>
  <w:style w:type="paragraph" w:styleId="Header">
    <w:name w:val="页眉"/>
    <w:basedOn w:val="Normal"/>
    <w:link w:val="UserStyle_3"/>
    <w:pPr>
      <w:snapToGrid w:val="0"/>
      <w:jc w:val="center"/>
      <w:tabs>
        <w:tab w:val="center" w:pos="4153"/>
        <w:tab w:val="right" w:pos="8306"/>
      </w:tabs>
      <w:spacing w:line="620" w:lineRule="exact"/>
      <w:ind w:firstLine="200" w:firstLineChars="200"/>
    </w:pPr>
    <w:rPr>
      <w:sz w:val="18"/>
      <w:szCs w:val="18"/>
      <w:rFonts w:ascii="仿宋_GB2312" w:eastAsia="仿宋_GB2312"/>
    </w:rPr>
  </w:style>
  <w:style w:type="character" w:styleId="UserStyle_3">
    <w:name w:val="页眉 Char"/>
    <w:link w:val="Header"/>
    <w:rPr>
      <w:sz w:val="18"/>
      <w:szCs w:val="18"/>
      <w:kern w:val="2"/>
    </w:rPr>
  </w:style>
  <w:style w:type="paragraph" w:styleId="TOC1">
    <w:name w:val="目录 1"/>
    <w:basedOn w:val="Normal"/>
    <w:link w:val="Normal"/>
    <w:pPr>
      <w:jc w:val="center"/>
      <w:spacing w:before="240" w:lineRule="auto"/>
      <w:ind w:right="36"/>
    </w:pPr>
    <w:rPr>
      <w:sz w:val="28"/>
      <w:lang w:val="zh-CN" w:eastAsia="zh-CN" w:bidi="zh-CN"/>
      <w:szCs w:val="28"/>
      <w:rFonts w:ascii="黑体" w:hAnsi="黑体" w:eastAsia="黑体"/>
    </w:rPr>
  </w:style>
  <w:style w:type="paragraph" w:styleId="Subtitle">
    <w:name w:val="副标题"/>
    <w:basedOn w:val="Normal"/>
    <w:link w:val="UserStyle_4"/>
    <w:pPr>
      <w:snapToGrid w:val="0"/>
      <w:jc w:val="center"/>
      <w:spacing w:after="60" w:before="240" w:line="312" w:lineRule="auto"/>
    </w:pPr>
    <w:rPr>
      <w:b w:val="1"/>
      <w:sz w:val="24"/>
      <w:szCs w:val="32"/>
      <w:kern w:val="28"/>
      <w:bCs/>
      <w:rFonts w:ascii="Cambria" w:hAnsi="Cambria" w:eastAsia="黑体"/>
    </w:rPr>
  </w:style>
  <w:style w:type="character" w:styleId="UserStyle_4">
    <w:name w:val="副标题 Char"/>
    <w:link w:val="Subtitle"/>
    <w:rPr>
      <w:b w:val="1"/>
      <w:sz w:val="24"/>
      <w:szCs w:val="32"/>
      <w:kern w:val="28"/>
      <w:bCs/>
      <w:rFonts w:ascii="Cambria" w:hAnsi="Cambria" w:eastAsia="黑体"/>
    </w:rPr>
  </w:style>
  <w:style w:type="paragraph" w:styleId="BodyText2">
    <w:name w:val="正文文本 2"/>
    <w:basedOn w:val="Normal"/>
    <w:link w:val="Normal"/>
    <w:pPr>
      <w:spacing w:after="120" w:line="480" w:lineRule="auto"/>
    </w:pPr>
    <w:rPr>
      <w:szCs w:val="20"/>
    </w:rPr>
  </w:style>
  <w:style w:type="paragraph" w:styleId="BodyText1I">
    <w:name w:val="正文首行缩进"/>
    <w:basedOn w:val="BodyText"/>
    <w:link w:val="Normal"/>
    <w:pPr>
      <w:ind w:firstLine="420" w:firstLineChars="100"/>
    </w:pPr>
  </w:style>
  <w:style w:type="character" w:styleId="UserStyle_5">
    <w:name w:val="纯文本 字符1"/>
    <w:link w:val="Normal"/>
    <w:rPr>
      <w:sz w:val="21"/>
      <w:szCs w:val="21"/>
      <w:kern w:val="2"/>
      <w:rFonts w:ascii="宋体" w:hAnsi="Courier New" w:eastAsia="宋体"/>
    </w:rPr>
  </w:style>
  <w:style w:type="character" w:styleId="UserStyle_6">
    <w:name w:val="font31"/>
    <w:basedOn w:val="NormalCharacter"/>
    <w:link w:val="Normal"/>
    <w:rPr>
      <w:i w:val="0"/>
      <w:u w:val="none"/>
      <w:color w:val="000000"/>
      <w:sz w:val="18"/>
      <w:szCs w:val="18"/>
      <w:iCs w:val="0"/>
      <w:rFonts w:ascii="仿宋" w:hAnsi="仿宋" w:eastAsia="仿宋" w:hint="eastAsia"/>
    </w:rPr>
  </w:style>
  <w:style w:type="character" w:styleId="UserStyle_7">
    <w:name w:val="font51"/>
    <w:basedOn w:val="NormalCharacter"/>
    <w:link w:val="Normal"/>
    <w:rPr>
      <w:i w:val="0"/>
      <w:u w:val="none"/>
      <w:color w:val="000000"/>
      <w:sz w:val="18"/>
      <w:szCs w:val="18"/>
      <w:iCs w:val="0"/>
      <w:rFonts w:ascii="Times New Roman" w:hAnsi="Times New Roman"/>
    </w:rPr>
  </w:style>
  <w:style w:type="character" w:styleId="UserStyle_8">
    <w:name w:val="font41"/>
    <w:basedOn w:val="NormalCharacter"/>
    <w:link w:val="Normal"/>
    <w:rPr>
      <w:i w:val="0"/>
      <w:u w:val="none"/>
      <w:color w:val="000000"/>
      <w:sz w:val="18"/>
      <w:szCs w:val="18"/>
      <w:iCs w:val="0"/>
      <w:rFonts w:ascii="Arial" w:hAnsi="Arial"/>
    </w:rPr>
  </w:style>
  <w:style w:type="character" w:styleId="UserStyle_9">
    <w:name w:val="font81"/>
    <w:basedOn w:val="NormalCharacter"/>
    <w:link w:val="Normal"/>
    <w:rPr>
      <w:i w:val="0"/>
      <w:u w:val="none"/>
      <w:color w:val="000000"/>
      <w:sz w:val="18"/>
      <w:szCs w:val="18"/>
      <w:iCs w:val="0"/>
      <w:rFonts w:ascii="宋体" w:hAnsi="宋体" w:eastAsia="宋体" w:hint="eastAsia"/>
    </w:rPr>
  </w:style>
  <w:style w:type="character" w:styleId="UserStyle_10">
    <w:name w:val="font01"/>
    <w:basedOn w:val="NormalCharacter"/>
    <w:link w:val="Normal"/>
    <w:rPr>
      <w:u w:val="none"/>
      <w:color w:val="000000"/>
      <w:sz w:val="16"/>
      <w:szCs w:val="16"/>
      <w:rFonts w:ascii="仿宋" w:hAnsi="仿宋" w:eastAsia="仿宋" w:hint="eastAsia"/>
    </w:rPr>
  </w:style>
  <w:style w:type="paragraph" w:styleId="UserStyle_11">
    <w:name w:val="Body text|1"/>
    <w:basedOn w:val="Normal"/>
    <w:link w:val="Normal"/>
    <w:pPr>
      <w:jc w:val="center"/>
      <w:widowControl w:val="off"/>
      <w:shd w:val="clear" w:color="auto" w:fill="auto"/>
      <w:spacing w:after="640" w:lineRule="auto"/>
    </w:pPr>
    <w:rPr>
      <w:u w:val="none"/>
      <w:lang w:val="zh-TW" w:eastAsia="zh-TW" w:bidi="zh-TW"/>
      <w:shd w:val="clear" w:color="auto" w:fill="auto"/>
      <w:rFonts w:ascii="宋体" w:hAnsi="宋体" w:eastAsia="宋体"/>
    </w:rPr>
  </w:style>
  <w:style w:type="paragraph" w:styleId="UserStyle_12">
    <w:name w:val="二级标题"/>
    <w:basedOn w:val="UserStyle_13"/>
    <w:link w:val="Normal"/>
    <w:pPr>
      <w:jc w:val="start"/>
      <w:outlineLvl w:val="1"/>
    </w:pPr>
    <w:rPr>
      <w:b w:val="1"/>
      <w:rFonts w:eastAsia="楷体"/>
    </w:rPr>
  </w:style>
  <w:style w:type="paragraph" w:styleId="UserStyle_13">
    <w:name w:val="一级标题"/>
    <w:basedOn w:val="Normal"/>
    <w:link w:val="Normal"/>
    <w:pPr>
      <w:jc w:val="center"/>
      <w:outlineLvl w:val="0"/>
      <w:ind w:firstLine="0" w:firstLineChars="0"/>
    </w:pPr>
    <w:rPr>
      <w:rFonts w:eastAsia="黑体"/>
    </w:rPr>
  </w:style>
  <w:style w:type="table" w:styleId="UserStyle_14">
    <w:name w:val="Table Normal"/>
    <w:link w:val="Normal"/>
  </w:style>
</w:styles>
</file>

<file path=word/_rels/document.xml.rels><?xml version="1.0" encoding="UTF-8" standalone="yes"?><Relationships xmlns="http://schemas.openxmlformats.org/package/2006/relationships"><Relationship Id="rId8" Type="http://schemas.openxmlformats.org/officeDocument/2006/relationships/footer" Target="footer2.xml" /><Relationship Id="rId7" Type="http://schemas.openxmlformats.org/officeDocument/2006/relationships/footer" Target="footer1.xml" /><Relationship Id="rId6" Type="http://schemas.openxmlformats.org/officeDocument/2006/relationships/header" Target="header3.xml" /><Relationship Id="rId5" Type="http://schemas.openxmlformats.org/officeDocument/2006/relationships/header" Target="header2.xml" /><Relationship Id="rId4" Type="http://schemas.openxmlformats.org/officeDocument/2006/relationships/header" Target="header1.xml" /><Relationship Id="rId3" Type="http://schemas.openxmlformats.org/officeDocument/2006/relationships/numbering" Target="numbering.xml" /><Relationship Id="rId2" Type="http://schemas.openxmlformats.org/officeDocument/2006/relationships/fontTable" Target="fontTable.xml" /><Relationship Id="rId1" Type="http://schemas.openxmlformats.org/officeDocument/2006/relationships/settings" Target="settings.xml" /><Relationship Id="rId0" Type="http://schemas.openxmlformats.org/officeDocument/2006/relationships/styles" Target="styles.xml" /></Relationships>
</file>

<file path=docProps/app.xml><?xml version="1.0" encoding="utf-8"?>
<!--Fri Aug  7 16:32:19 2026
-->
<Properties xmlns="http://schemas.openxmlformats.org/officeDocument/2006/extended-properties">
  <Template/>
  <TotalTime>0</TotalTime>
  <Pages>0</Pages>
  <Words>0</Words>
  <Characters>0</Characters>
  <Application/>
  <DocSecurity>0</DocSecurity>
  <Lines>0</Lines>
  <Paragraphs>0</Paragraphs>
  <ScaleCrop>false</ScaleCrop>
  <Company/>
  <LinksUpToDate>false</LinksUpToDate>
  <CharactersWithSpaces>0</CharactersWithSpaces>
  <SharedDoc>false</SharedDoc>
  <HyperlinksChanged>false</HyperlinksChanged>
</Properties>
</file>

<file path=docProps/core.xml><?xml version="1.0" encoding="utf-8"?>
<!--Fri Aug  7 16:32:19 2026
-->
<cp:coreProperties xmlns:xsi="http://www.w3.org/2001/XMLSchema-instance" xmlns:dcmitype="http://purl.org/dc/dcmitype/" xmlns:dc="http://purl.org/dc/elements/1.1/" xmlns:dcterms="http://purl.org/dc/terms/" xmlns:cp="http://schemas.openxmlformats.org/package/2006/metadata/core-properties">
  <dc:title/>
  <dc:subject/>
  <dc:creator/>
  <cp:keywords/>
  <dc:description/>
  <cp:lastModifiedBy/>
  <cp:revision>0</cp:revision>
</cp:coreProperties>
</file>